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12EF4" w14:textId="77777777" w:rsidR="007E097D" w:rsidRPr="00365511" w:rsidRDefault="007E097D" w:rsidP="002A142F">
      <w:pPr>
        <w:pStyle w:val="Title"/>
      </w:pPr>
      <w:r>
        <w:t xml:space="preserve">Predictors for Invasive </w:t>
      </w:r>
      <w:r w:rsidRPr="00365511">
        <w:t>Home Mechanical Ventilation</w:t>
      </w:r>
      <w:r>
        <w:t xml:space="preserve"> Duration</w:t>
      </w:r>
      <w:r w:rsidRPr="00365511">
        <w:t xml:space="preserve"> </w:t>
      </w:r>
      <w:r>
        <w:t>in</w:t>
      </w:r>
      <w:r w:rsidRPr="00365511">
        <w:t xml:space="preserve"> Chronic Lung Disease of Prematurity</w:t>
      </w:r>
    </w:p>
    <w:p w14:paraId="62E33F59" w14:textId="77777777" w:rsidR="007E097D" w:rsidRPr="003D6568" w:rsidRDefault="007E097D" w:rsidP="002A142F">
      <w:pPr>
        <w:contextualSpacing/>
        <w:jc w:val="center"/>
      </w:pPr>
    </w:p>
    <w:p w14:paraId="43022B26" w14:textId="77777777" w:rsidR="007E097D" w:rsidRPr="003D6568" w:rsidRDefault="007E097D" w:rsidP="002A142F">
      <w:pPr>
        <w:contextualSpacing/>
      </w:pPr>
    </w:p>
    <w:p w14:paraId="453E2746" w14:textId="77777777" w:rsidR="007E097D" w:rsidRPr="003D6568" w:rsidRDefault="007E097D" w:rsidP="00F41B97">
      <w:pPr>
        <w:contextualSpacing/>
        <w:jc w:val="center"/>
      </w:pPr>
      <w:r w:rsidRPr="003D6568">
        <w:t xml:space="preserve">Carolyn Foster </w:t>
      </w:r>
      <w:r w:rsidRPr="008821BB">
        <w:t>MD, MS</w:t>
      </w:r>
      <w:r w:rsidRPr="008821BB">
        <w:rPr>
          <w:vertAlign w:val="superscript"/>
        </w:rPr>
        <w:t>1,2,3</w:t>
      </w:r>
      <w:r w:rsidRPr="008821BB">
        <w:t>, Paige Noreen, MD</w:t>
      </w:r>
      <w:r w:rsidRPr="008821BB">
        <w:rPr>
          <w:vertAlign w:val="superscript"/>
        </w:rPr>
        <w:t>4</w:t>
      </w:r>
      <w:r>
        <w:rPr>
          <w:vertAlign w:val="superscript"/>
        </w:rPr>
        <w:t>,5</w:t>
      </w:r>
      <w:r w:rsidRPr="008821BB">
        <w:t xml:space="preserve">, Jennifer </w:t>
      </w:r>
      <w:proofErr w:type="spellStart"/>
      <w:r w:rsidRPr="008821BB">
        <w:t>Grage</w:t>
      </w:r>
      <w:proofErr w:type="spellEnd"/>
      <w:r w:rsidRPr="008821BB">
        <w:t>, MD</w:t>
      </w:r>
      <w:r w:rsidRPr="008821BB">
        <w:rPr>
          <w:vertAlign w:val="superscript"/>
        </w:rPr>
        <w:t>4</w:t>
      </w:r>
      <w:r>
        <w:rPr>
          <w:vertAlign w:val="superscript"/>
        </w:rPr>
        <w:t>,5</w:t>
      </w:r>
      <w:r w:rsidRPr="008821BB">
        <w:t xml:space="preserve">, </w:t>
      </w:r>
      <w:proofErr w:type="spellStart"/>
      <w:r w:rsidRPr="008821BB">
        <w:t>Soyang</w:t>
      </w:r>
      <w:proofErr w:type="spellEnd"/>
      <w:r w:rsidRPr="003D6568">
        <w:t xml:space="preserve"> Kwon, PhD</w:t>
      </w:r>
      <w:r w:rsidRPr="003D6568">
        <w:rPr>
          <w:vertAlign w:val="superscript"/>
        </w:rPr>
        <w:t>2</w:t>
      </w:r>
      <w:r w:rsidRPr="003D6568">
        <w:t xml:space="preserve">, Lindsey P. </w:t>
      </w:r>
      <w:proofErr w:type="spellStart"/>
      <w:r w:rsidRPr="003D6568">
        <w:t>Hird-McCorry</w:t>
      </w:r>
      <w:proofErr w:type="spellEnd"/>
      <w:r w:rsidRPr="003D6568">
        <w:t>, BSN, RN, CPN</w:t>
      </w:r>
      <w:r>
        <w:rPr>
          <w:vertAlign w:val="superscript"/>
        </w:rPr>
        <w:t>5,6</w:t>
      </w:r>
      <w:r w:rsidRPr="003D6568">
        <w:t>, Angela Janus, BSN, RN, CPN</w:t>
      </w:r>
      <w:r>
        <w:rPr>
          <w:vertAlign w:val="superscript"/>
        </w:rPr>
        <w:t>5,6</w:t>
      </w:r>
      <w:r w:rsidRPr="003D6568">
        <w:t>, Matthew M. Davis, MD, MPP</w:t>
      </w:r>
      <w:r w:rsidRPr="003D6568">
        <w:rPr>
          <w:vertAlign w:val="superscript"/>
        </w:rPr>
        <w:t>1,2,</w:t>
      </w:r>
      <w:r>
        <w:rPr>
          <w:vertAlign w:val="superscript"/>
        </w:rPr>
        <w:t>5,7</w:t>
      </w:r>
      <w:r w:rsidRPr="003D6568">
        <w:t>,</w:t>
      </w:r>
      <w:r>
        <w:t xml:space="preserve"> </w:t>
      </w:r>
      <w:r w:rsidRPr="003D6568">
        <w:t>Denise Goodman, MD, MS</w:t>
      </w:r>
      <w:r w:rsidRPr="001301FA">
        <w:rPr>
          <w:vertAlign w:val="superscript"/>
        </w:rPr>
        <w:t>5,</w:t>
      </w:r>
      <w:r>
        <w:rPr>
          <w:vertAlign w:val="superscript"/>
        </w:rPr>
        <w:t>6</w:t>
      </w:r>
      <w:r w:rsidRPr="003D6568">
        <w:rPr>
          <w:vertAlign w:val="superscript"/>
        </w:rPr>
        <w:t>,</w:t>
      </w:r>
      <w:r>
        <w:rPr>
          <w:vertAlign w:val="superscript"/>
        </w:rPr>
        <w:t>8</w:t>
      </w:r>
      <w:r>
        <w:t xml:space="preserve">, </w:t>
      </w:r>
      <w:r w:rsidRPr="003D6568">
        <w:t>Theresa Laguna, MD, MSCS</w:t>
      </w:r>
      <w:r>
        <w:rPr>
          <w:vertAlign w:val="superscript"/>
        </w:rPr>
        <w:t>5,6,9</w:t>
      </w:r>
    </w:p>
    <w:p w14:paraId="7C75736E" w14:textId="77777777" w:rsidR="007E097D" w:rsidRPr="003D6568" w:rsidRDefault="007E097D" w:rsidP="002A142F">
      <w:pPr>
        <w:contextualSpacing/>
        <w:rPr>
          <w:b/>
          <w:bCs/>
        </w:rPr>
      </w:pPr>
    </w:p>
    <w:p w14:paraId="40DA3C58" w14:textId="77777777" w:rsidR="007E097D" w:rsidRPr="003D6568" w:rsidRDefault="007E097D" w:rsidP="002A142F">
      <w:pPr>
        <w:contextualSpacing/>
        <w:rPr>
          <w:b/>
        </w:rPr>
      </w:pPr>
      <w:r w:rsidRPr="003D6568">
        <w:rPr>
          <w:b/>
        </w:rPr>
        <w:t xml:space="preserve">Affiliations:  </w:t>
      </w:r>
    </w:p>
    <w:p w14:paraId="0F49DFB4" w14:textId="77777777" w:rsidR="007E097D" w:rsidRPr="003D6568" w:rsidRDefault="007E097D" w:rsidP="002A142F">
      <w:pPr>
        <w:contextualSpacing/>
      </w:pPr>
      <w:r w:rsidRPr="008821BB">
        <w:rPr>
          <w:vertAlign w:val="superscript"/>
        </w:rPr>
        <w:t>1</w:t>
      </w:r>
      <w:r w:rsidRPr="008821BB">
        <w:t xml:space="preserve">Division of Advanced General Pediatrics and Primary Care, Department of Pediatrics, Northwestern University Feinberg School of Medicine, </w:t>
      </w:r>
      <w:r w:rsidRPr="008821BB">
        <w:rPr>
          <w:vertAlign w:val="superscript"/>
        </w:rPr>
        <w:t>2</w:t>
      </w:r>
      <w:r w:rsidRPr="008821BB">
        <w:t xml:space="preserve">Mary Ann &amp; J. Milburn Smith Child Health Outcomes, Research, and Evaluation Center, Stanley Manne Children's Research Institute, Ann &amp; Robert H. Lurie Children’s Hospital of Chicago, </w:t>
      </w:r>
      <w:r w:rsidRPr="008821BB">
        <w:rPr>
          <w:vertAlign w:val="superscript"/>
        </w:rPr>
        <w:t>3</w:t>
      </w:r>
      <w:r w:rsidRPr="008821BB">
        <w:t>Digital Health, Ann &amp; Robert H. Lurie Children’s Hospital of Chicago,</w:t>
      </w:r>
      <w:r>
        <w:t xml:space="preserve"> </w:t>
      </w:r>
      <w:r w:rsidRPr="008821BB">
        <w:rPr>
          <w:vertAlign w:val="superscript"/>
        </w:rPr>
        <w:t>4</w:t>
      </w:r>
      <w:r w:rsidRPr="008821BB">
        <w:t>McGaw Medical Center, Northwestern University</w:t>
      </w:r>
      <w:r>
        <w:t xml:space="preserve">, </w:t>
      </w:r>
      <w:r w:rsidRPr="00F369B2">
        <w:rPr>
          <w:vertAlign w:val="superscript"/>
        </w:rPr>
        <w:t>5</w:t>
      </w:r>
      <w:r w:rsidRPr="008821BB">
        <w:t>Ann &amp; Robert H. Lurie Children’s Hospital of Chicago</w:t>
      </w:r>
      <w:r>
        <w:t xml:space="preserve">, </w:t>
      </w:r>
      <w:r>
        <w:rPr>
          <w:vertAlign w:val="superscript"/>
        </w:rPr>
        <w:t>6</w:t>
      </w:r>
      <w:r w:rsidRPr="008821BB">
        <w:t>Pulmonary Habilitation Program, Ann &amp; Robert H. Lurie Children’s Hospital of Chicago,</w:t>
      </w:r>
      <w:r>
        <w:t xml:space="preserve"> </w:t>
      </w:r>
      <w:r>
        <w:rPr>
          <w:vertAlign w:val="superscript"/>
        </w:rPr>
        <w:t>7</w:t>
      </w:r>
      <w:r w:rsidRPr="008821BB">
        <w:t xml:space="preserve">Departments of Medicine and Preventive Medicine, Northwestern University Feinberg School of Medicine, </w:t>
      </w:r>
      <w:r>
        <w:rPr>
          <w:vertAlign w:val="superscript"/>
        </w:rPr>
        <w:t>8</w:t>
      </w:r>
      <w:r w:rsidRPr="008821BB">
        <w:t>Division of Critical Care Medicine, Department of Pediatrics, Northwestern University Feinberg School of Medicine</w:t>
      </w:r>
      <w:r>
        <w:t xml:space="preserve">, </w:t>
      </w:r>
      <w:r>
        <w:rPr>
          <w:vertAlign w:val="superscript"/>
        </w:rPr>
        <w:t>9</w:t>
      </w:r>
      <w:r w:rsidRPr="008821BB">
        <w:t>Division of Pulmonary and Sleep Medicine, Department of Pediatrics, Northwestern University Feinberg School of Medicine</w:t>
      </w:r>
    </w:p>
    <w:p w14:paraId="2017A6CD" w14:textId="77777777" w:rsidR="007E097D" w:rsidRPr="003D6568" w:rsidRDefault="007E097D" w:rsidP="002A142F">
      <w:pPr>
        <w:contextualSpacing/>
      </w:pPr>
    </w:p>
    <w:p w14:paraId="4666D8F8" w14:textId="77777777" w:rsidR="007E097D" w:rsidRPr="003D6568" w:rsidRDefault="007E097D" w:rsidP="002A142F">
      <w:pPr>
        <w:contextualSpacing/>
      </w:pPr>
      <w:r w:rsidRPr="003D6568">
        <w:rPr>
          <w:b/>
        </w:rPr>
        <w:t>Address correspondence to</w:t>
      </w:r>
      <w:r w:rsidRPr="003D6568">
        <w:t xml:space="preserve">: Carolyn C. Foster, MD, MS, Division of Advanced General Pediatrics and Primary Care, Department of Pediatrics, Northwestern University Feinberg School of Medicine, Mary Ann &amp; J. Milburn Smith Child Outcomes, Research, and Evaluation Center, Stanley Manne Children's Research Institute, Ann &amp; Robert H. Lurie Children’s Hospital of Chicago, 225 East Chicago Avenue, Box 162, Chicago, Illinois 60611, Telephone 312-227-2665, Fax 312-227-9801, Email: </w:t>
      </w:r>
      <w:hyperlink r:id="rId5">
        <w:r w:rsidRPr="003D6568">
          <w:rPr>
            <w:color w:val="0563C1"/>
          </w:rPr>
          <w:t>ccfoster@luriechildrens.org</w:t>
        </w:r>
      </w:hyperlink>
      <w:r w:rsidRPr="003D6568">
        <w:t xml:space="preserve">   </w:t>
      </w:r>
    </w:p>
    <w:p w14:paraId="729E7B68" w14:textId="77777777" w:rsidR="007E097D" w:rsidRPr="003D6568" w:rsidRDefault="007E097D" w:rsidP="002A142F">
      <w:pPr>
        <w:contextualSpacing/>
        <w:rPr>
          <w:b/>
        </w:rPr>
      </w:pPr>
    </w:p>
    <w:p w14:paraId="44F13267" w14:textId="77777777" w:rsidR="007E097D" w:rsidRPr="003D6568" w:rsidRDefault="007E097D" w:rsidP="002A142F">
      <w:pPr>
        <w:contextualSpacing/>
      </w:pPr>
      <w:r w:rsidRPr="003D6568">
        <w:rPr>
          <w:b/>
          <w:bCs/>
        </w:rPr>
        <w:t>Conflict of Interest:</w:t>
      </w:r>
      <w:r w:rsidRPr="003D6568">
        <w:t xml:space="preserve"> None</w:t>
      </w:r>
    </w:p>
    <w:p w14:paraId="7427695D" w14:textId="77777777" w:rsidR="007E097D" w:rsidRPr="003D6568" w:rsidRDefault="007E097D" w:rsidP="002A142F">
      <w:pPr>
        <w:contextualSpacing/>
      </w:pPr>
    </w:p>
    <w:p w14:paraId="27020DB9" w14:textId="77777777" w:rsidR="007E097D" w:rsidRPr="003D6568" w:rsidRDefault="007E097D" w:rsidP="002A142F">
      <w:pPr>
        <w:contextualSpacing/>
      </w:pPr>
      <w:r w:rsidRPr="003D6568">
        <w:rPr>
          <w:b/>
          <w:bCs/>
        </w:rPr>
        <w:t xml:space="preserve">Financial disclosures: </w:t>
      </w:r>
      <w:r w:rsidRPr="003D6568">
        <w:t xml:space="preserve">Dr. Foster has received compensation for medical record consultation and/or expert witness testimony. </w:t>
      </w:r>
    </w:p>
    <w:p w14:paraId="14D52C48" w14:textId="77777777" w:rsidR="007E097D" w:rsidRPr="003D6568" w:rsidRDefault="007E097D" w:rsidP="002A142F">
      <w:pPr>
        <w:contextualSpacing/>
        <w:rPr>
          <w:b/>
        </w:rPr>
      </w:pPr>
    </w:p>
    <w:p w14:paraId="511070DD" w14:textId="77777777" w:rsidR="007E097D" w:rsidRDefault="007E097D" w:rsidP="002A142F">
      <w:pPr>
        <w:contextualSpacing/>
      </w:pPr>
      <w:r w:rsidRPr="003D6568">
        <w:rPr>
          <w:b/>
        </w:rPr>
        <w:t xml:space="preserve">Funding Support: </w:t>
      </w:r>
      <w:r w:rsidRPr="003D6568">
        <w:t xml:space="preserve">Dr. Foster is supported under 1K23HL149829-01A1 for research on care of children with home mechanical ventilation. The content is solely the responsibility of the authors and does not necessarily represent the official views of the National Institutes of Health. </w:t>
      </w:r>
    </w:p>
    <w:p w14:paraId="7EC6BCA7" w14:textId="77777777" w:rsidR="007E097D" w:rsidRDefault="007E097D" w:rsidP="002A142F">
      <w:pPr>
        <w:contextualSpacing/>
      </w:pPr>
    </w:p>
    <w:p w14:paraId="294041DD" w14:textId="77777777" w:rsidR="007E097D" w:rsidRPr="003D6568" w:rsidRDefault="007E097D" w:rsidP="002A142F">
      <w:pPr>
        <w:contextualSpacing/>
      </w:pPr>
      <w:proofErr w:type="spellStart"/>
      <w:r w:rsidRPr="003D6568">
        <w:t>REDCap</w:t>
      </w:r>
      <w:proofErr w:type="spellEnd"/>
      <w:r w:rsidRPr="003D6568">
        <w:t xml:space="preserve"> is supported at FSM by the Northwestern University Clinical and Translational Science (NUCATS) Institute, Research reported in this publication was supported, in part, by the National Institutes of Health's National Center for Advancing Translational Sciences, Grant Number UL1TR001422. The content is solely the responsibility of the authors and does not necessarily represent the official views of the National Institutes of Health</w:t>
      </w:r>
    </w:p>
    <w:p w14:paraId="212B840B" w14:textId="77777777" w:rsidR="007E097D" w:rsidRPr="003D6568" w:rsidRDefault="007E097D" w:rsidP="002A142F">
      <w:pPr>
        <w:contextualSpacing/>
        <w:rPr>
          <w:b/>
        </w:rPr>
      </w:pPr>
    </w:p>
    <w:p w14:paraId="1D755BC9" w14:textId="77777777" w:rsidR="007E097D" w:rsidRPr="003D6568" w:rsidRDefault="007E097D" w:rsidP="002A142F">
      <w:pPr>
        <w:contextualSpacing/>
      </w:pPr>
      <w:r w:rsidRPr="003D6568">
        <w:rPr>
          <w:b/>
          <w:bCs/>
        </w:rPr>
        <w:t xml:space="preserve">Keywords: </w:t>
      </w:r>
      <w:r w:rsidRPr="003D6568">
        <w:t xml:space="preserve">long-term mechanical ventilation, </w:t>
      </w:r>
      <w:r>
        <w:t>chronic lung disease, bronchopulmonary dysplasia, children with medical complexity</w:t>
      </w:r>
    </w:p>
    <w:p w14:paraId="3A4EF3EE" w14:textId="77777777" w:rsidR="007E097D" w:rsidRPr="003D6568" w:rsidRDefault="007E097D" w:rsidP="002A142F">
      <w:pPr>
        <w:contextualSpacing/>
        <w:rPr>
          <w:b/>
        </w:rPr>
      </w:pPr>
    </w:p>
    <w:p w14:paraId="01F0B700" w14:textId="77777777" w:rsidR="007E097D" w:rsidRPr="003D6568" w:rsidRDefault="007E097D" w:rsidP="002A142F">
      <w:pPr>
        <w:contextualSpacing/>
      </w:pPr>
      <w:r w:rsidRPr="003D6568">
        <w:rPr>
          <w:b/>
        </w:rPr>
        <w:lastRenderedPageBreak/>
        <w:t>Clinical Trial Registration</w:t>
      </w:r>
      <w:r w:rsidRPr="003D6568">
        <w:t>: Not applicable</w:t>
      </w:r>
    </w:p>
    <w:p w14:paraId="0AA91DB2" w14:textId="77777777" w:rsidR="007E097D" w:rsidRPr="003D6568" w:rsidRDefault="007E097D" w:rsidP="002A142F">
      <w:pPr>
        <w:contextualSpacing/>
        <w:rPr>
          <w:b/>
        </w:rPr>
      </w:pPr>
    </w:p>
    <w:p w14:paraId="14E4ECF7" w14:textId="77777777" w:rsidR="007E097D" w:rsidRPr="003D6568" w:rsidRDefault="007E097D" w:rsidP="002A142F">
      <w:pPr>
        <w:contextualSpacing/>
      </w:pPr>
      <w:r w:rsidRPr="003D6568">
        <w:rPr>
          <w:b/>
        </w:rPr>
        <w:t xml:space="preserve">Abbreviations: </w:t>
      </w:r>
      <w:r w:rsidRPr="003D6568">
        <w:rPr>
          <w:color w:val="000000"/>
        </w:rPr>
        <w:t xml:space="preserve"> </w:t>
      </w:r>
      <w:r w:rsidRPr="003D6568">
        <w:t>bronchopulmonary dysplasia (BPD)</w:t>
      </w:r>
      <w:r w:rsidRPr="003D6568">
        <w:rPr>
          <w:color w:val="000000"/>
        </w:rPr>
        <w:t xml:space="preserve">, </w:t>
      </w:r>
      <w:r w:rsidRPr="003D6568">
        <w:t xml:space="preserve">chronic lung disease (CLD), </w:t>
      </w:r>
      <w:r>
        <w:t xml:space="preserve">invasive </w:t>
      </w:r>
      <w:r>
        <w:rPr>
          <w:color w:val="000000"/>
        </w:rPr>
        <w:t>h</w:t>
      </w:r>
      <w:r w:rsidRPr="003D6568">
        <w:rPr>
          <w:color w:val="000000"/>
        </w:rPr>
        <w:t>ome mechanical ventilation (</w:t>
      </w:r>
      <w:proofErr w:type="spellStart"/>
      <w:r>
        <w:rPr>
          <w:color w:val="000000"/>
        </w:rPr>
        <w:t>iHMV</w:t>
      </w:r>
      <w:proofErr w:type="spellEnd"/>
      <w:r w:rsidRPr="003D6568">
        <w:rPr>
          <w:color w:val="000000"/>
        </w:rPr>
        <w:t>)</w:t>
      </w:r>
      <w:r>
        <w:rPr>
          <w:color w:val="000000"/>
        </w:rPr>
        <w:t xml:space="preserve"> </w:t>
      </w:r>
    </w:p>
    <w:p w14:paraId="2D638C26" w14:textId="77777777" w:rsidR="007E097D" w:rsidRPr="003D6568" w:rsidRDefault="007E097D" w:rsidP="002A142F">
      <w:pPr>
        <w:contextualSpacing/>
        <w:rPr>
          <w:b/>
          <w:bCs/>
        </w:rPr>
      </w:pPr>
    </w:p>
    <w:p w14:paraId="5F0462E2" w14:textId="77777777" w:rsidR="007E097D" w:rsidRPr="003D6568" w:rsidRDefault="007E097D" w:rsidP="002A142F">
      <w:pPr>
        <w:contextualSpacing/>
      </w:pPr>
      <w:r w:rsidRPr="003D6568">
        <w:rPr>
          <w:b/>
          <w:bCs/>
        </w:rPr>
        <w:t xml:space="preserve">Abbreviated title: </w:t>
      </w:r>
      <w:r w:rsidRPr="00A035F3">
        <w:t xml:space="preserve">Duration of </w:t>
      </w:r>
      <w:r>
        <w:t xml:space="preserve">Invasive </w:t>
      </w:r>
      <w:r w:rsidRPr="00A035F3">
        <w:t>Home Ventilation after Prematur</w:t>
      </w:r>
      <w:r>
        <w:t>ity</w:t>
      </w:r>
    </w:p>
    <w:p w14:paraId="46526ED3" w14:textId="77777777" w:rsidR="007E097D" w:rsidRPr="003D6568" w:rsidRDefault="007E097D" w:rsidP="002A142F">
      <w:pPr>
        <w:contextualSpacing/>
        <w:rPr>
          <w:b/>
          <w:bCs/>
        </w:rPr>
      </w:pPr>
      <w:r w:rsidRPr="003D6568">
        <w:rPr>
          <w:b/>
          <w:bCs/>
        </w:rPr>
        <w:br w:type="page"/>
      </w:r>
    </w:p>
    <w:p w14:paraId="63727A67" w14:textId="77777777" w:rsidR="007E097D" w:rsidRPr="003D6568" w:rsidRDefault="007E097D" w:rsidP="002A142F">
      <w:pPr>
        <w:contextualSpacing/>
        <w:rPr>
          <w:b/>
          <w:bCs/>
        </w:rPr>
      </w:pPr>
    </w:p>
    <w:p w14:paraId="39CEB4E2" w14:textId="77777777" w:rsidR="007E097D" w:rsidRPr="003D6568" w:rsidRDefault="007E097D" w:rsidP="002A142F">
      <w:pPr>
        <w:pStyle w:val="Heading1"/>
        <w:spacing w:line="240" w:lineRule="auto"/>
      </w:pPr>
      <w:r w:rsidRPr="003D6568">
        <w:t>Abstract</w:t>
      </w:r>
    </w:p>
    <w:p w14:paraId="49FE186B" w14:textId="77777777" w:rsidR="007E097D" w:rsidRPr="003D6568" w:rsidRDefault="007E097D" w:rsidP="002A142F">
      <w:pPr>
        <w:contextualSpacing/>
        <w:rPr>
          <w:b/>
          <w:bCs/>
        </w:rPr>
      </w:pPr>
    </w:p>
    <w:p w14:paraId="33FBA44D" w14:textId="77777777" w:rsidR="007E097D" w:rsidRPr="003D6568" w:rsidRDefault="007E097D" w:rsidP="002A142F">
      <w:pPr>
        <w:contextualSpacing/>
        <w:rPr>
          <w:b/>
          <w:bCs/>
        </w:rPr>
      </w:pPr>
      <w:r w:rsidRPr="003D6568">
        <w:rPr>
          <w:b/>
          <w:bCs/>
        </w:rPr>
        <w:t xml:space="preserve">Background </w:t>
      </w:r>
    </w:p>
    <w:p w14:paraId="57DAF93C" w14:textId="77777777" w:rsidR="007E097D" w:rsidRDefault="007E097D" w:rsidP="002A142F">
      <w:pPr>
        <w:contextualSpacing/>
        <w:rPr>
          <w:rFonts w:eastAsia="Calibri"/>
          <w:bCs/>
        </w:rPr>
      </w:pPr>
    </w:p>
    <w:p w14:paraId="069855C8" w14:textId="77777777" w:rsidR="007E097D" w:rsidRPr="003D6568" w:rsidRDefault="007E097D" w:rsidP="002A142F">
      <w:pPr>
        <w:contextualSpacing/>
        <w:rPr>
          <w:b/>
          <w:bCs/>
        </w:rPr>
      </w:pPr>
      <w:r w:rsidRPr="003D6568">
        <w:rPr>
          <w:rFonts w:eastAsia="Calibri"/>
          <w:bCs/>
        </w:rPr>
        <w:t xml:space="preserve">Children with chronic lung disease (CLD) </w:t>
      </w:r>
      <w:r>
        <w:rPr>
          <w:rFonts w:eastAsia="Calibri"/>
          <w:bCs/>
        </w:rPr>
        <w:t>of</w:t>
      </w:r>
      <w:r w:rsidRPr="003D6568">
        <w:rPr>
          <w:rFonts w:eastAsia="Calibri"/>
          <w:bCs/>
        </w:rPr>
        <w:t xml:space="preserve"> prematurity </w:t>
      </w:r>
      <w:r>
        <w:rPr>
          <w:rFonts w:eastAsia="Calibri"/>
          <w:bCs/>
        </w:rPr>
        <w:t>who require</w:t>
      </w:r>
      <w:r w:rsidRPr="003D6568">
        <w:rPr>
          <w:rFonts w:eastAsia="Calibri"/>
          <w:bCs/>
        </w:rPr>
        <w:t xml:space="preserve"> </w:t>
      </w:r>
      <w:r>
        <w:rPr>
          <w:rFonts w:eastAsia="Calibri"/>
          <w:bCs/>
        </w:rPr>
        <w:t xml:space="preserve">invasive </w:t>
      </w:r>
      <w:r w:rsidRPr="003D6568">
        <w:rPr>
          <w:rFonts w:eastAsia="Calibri"/>
          <w:bCs/>
        </w:rPr>
        <w:t>home mechanical ventilation (</w:t>
      </w:r>
      <w:proofErr w:type="spellStart"/>
      <w:r>
        <w:rPr>
          <w:rFonts w:eastAsia="Calibri"/>
          <w:bCs/>
        </w:rPr>
        <w:t>i</w:t>
      </w:r>
      <w:r w:rsidRPr="003D6568">
        <w:rPr>
          <w:rFonts w:eastAsia="Calibri"/>
          <w:bCs/>
        </w:rPr>
        <w:t>HMV</w:t>
      </w:r>
      <w:proofErr w:type="spellEnd"/>
      <w:r w:rsidRPr="003D6568">
        <w:rPr>
          <w:rFonts w:eastAsia="Calibri"/>
          <w:bCs/>
        </w:rPr>
        <w:t xml:space="preserve">) are </w:t>
      </w:r>
      <w:r>
        <w:rPr>
          <w:rFonts w:eastAsia="Calibri"/>
          <w:bCs/>
        </w:rPr>
        <w:t>medically</w:t>
      </w:r>
      <w:r w:rsidRPr="003D6568">
        <w:rPr>
          <w:rFonts w:eastAsia="Calibri"/>
          <w:bCs/>
        </w:rPr>
        <w:t xml:space="preserve"> vulnerable </w:t>
      </w:r>
      <w:r>
        <w:rPr>
          <w:rFonts w:eastAsia="Calibri"/>
          <w:bCs/>
        </w:rPr>
        <w:t>and experience high</w:t>
      </w:r>
      <w:r w:rsidRPr="003D6568">
        <w:rPr>
          <w:rFonts w:eastAsia="Calibri"/>
          <w:bCs/>
        </w:rPr>
        <w:t xml:space="preserve"> </w:t>
      </w:r>
      <w:r>
        <w:rPr>
          <w:rFonts w:eastAsia="Calibri"/>
          <w:bCs/>
        </w:rPr>
        <w:t>caregiving</w:t>
      </w:r>
      <w:r w:rsidRPr="003D6568">
        <w:rPr>
          <w:rFonts w:eastAsia="Calibri"/>
          <w:bCs/>
        </w:rPr>
        <w:t xml:space="preserve"> and healthcare costs.</w:t>
      </w:r>
      <w:r>
        <w:rPr>
          <w:rFonts w:eastAsia="Calibri"/>
          <w:bCs/>
        </w:rPr>
        <w:t xml:space="preserve"> </w:t>
      </w:r>
      <w:r>
        <w:rPr>
          <w:color w:val="212529"/>
        </w:rPr>
        <w:t>P</w:t>
      </w:r>
      <w:r w:rsidRPr="000E4F02">
        <w:rPr>
          <w:color w:val="212529"/>
        </w:rPr>
        <w:t xml:space="preserve">redictors for duration of </w:t>
      </w:r>
      <w:proofErr w:type="spellStart"/>
      <w:r>
        <w:rPr>
          <w:color w:val="212529"/>
        </w:rPr>
        <w:t>i</w:t>
      </w:r>
      <w:r w:rsidRPr="000E4F02">
        <w:rPr>
          <w:color w:val="212529"/>
        </w:rPr>
        <w:t>HMV</w:t>
      </w:r>
      <w:proofErr w:type="spellEnd"/>
      <w:r w:rsidRPr="000E4F02">
        <w:rPr>
          <w:color w:val="212529"/>
        </w:rPr>
        <w:t xml:space="preserve"> remain unclear, which </w:t>
      </w:r>
      <w:r>
        <w:rPr>
          <w:color w:val="212529"/>
        </w:rPr>
        <w:t>can make</w:t>
      </w:r>
      <w:r w:rsidRPr="000E4F02">
        <w:rPr>
          <w:color w:val="212529"/>
        </w:rPr>
        <w:t xml:space="preserve"> </w:t>
      </w:r>
      <w:r>
        <w:rPr>
          <w:rFonts w:eastAsia="Calibri"/>
          <w:bCs/>
        </w:rPr>
        <w:t>prognostication</w:t>
      </w:r>
      <w:r w:rsidRPr="00E20A12">
        <w:rPr>
          <w:rFonts w:eastAsia="Calibri"/>
          <w:bCs/>
        </w:rPr>
        <w:t xml:space="preserve"> </w:t>
      </w:r>
      <w:r w:rsidRPr="000E4F02">
        <w:rPr>
          <w:color w:val="212529"/>
        </w:rPr>
        <w:t xml:space="preserve">and decision-making </w:t>
      </w:r>
      <w:r>
        <w:rPr>
          <w:color w:val="212529"/>
        </w:rPr>
        <w:t>challenging</w:t>
      </w:r>
      <w:r w:rsidRPr="000E4F02">
        <w:rPr>
          <w:color w:val="212529"/>
        </w:rPr>
        <w:t>.</w:t>
      </w:r>
    </w:p>
    <w:p w14:paraId="1D1F8B1D" w14:textId="77777777" w:rsidR="007E097D" w:rsidRPr="003D6568" w:rsidRDefault="007E097D" w:rsidP="002A142F">
      <w:pPr>
        <w:contextualSpacing/>
        <w:rPr>
          <w:b/>
          <w:bCs/>
        </w:rPr>
      </w:pPr>
    </w:p>
    <w:p w14:paraId="5E288684" w14:textId="77777777" w:rsidR="007E097D" w:rsidRPr="003D6568" w:rsidRDefault="007E097D" w:rsidP="002A142F">
      <w:pPr>
        <w:contextualSpacing/>
        <w:rPr>
          <w:b/>
          <w:bCs/>
        </w:rPr>
      </w:pPr>
      <w:r w:rsidRPr="003D6568">
        <w:rPr>
          <w:b/>
          <w:bCs/>
        </w:rPr>
        <w:t>Methods</w:t>
      </w:r>
    </w:p>
    <w:p w14:paraId="53BD4B85" w14:textId="77777777" w:rsidR="007E097D" w:rsidRDefault="007E097D" w:rsidP="002A142F">
      <w:pPr>
        <w:contextualSpacing/>
      </w:pPr>
    </w:p>
    <w:p w14:paraId="200717CB" w14:textId="77777777" w:rsidR="007E097D" w:rsidRPr="00745F4F" w:rsidRDefault="007E097D" w:rsidP="002A142F">
      <w:pPr>
        <w:contextualSpacing/>
      </w:pPr>
      <w:r>
        <w:t xml:space="preserve">A retrospective cohort study of children with CLD of prematurity requiring invasive </w:t>
      </w:r>
      <w:proofErr w:type="spellStart"/>
      <w:r>
        <w:t>iHMV</w:t>
      </w:r>
      <w:proofErr w:type="spellEnd"/>
      <w:r>
        <w:t xml:space="preserve"> was conducted from an independent children’s hospital </w:t>
      </w:r>
      <w:r w:rsidRPr="00745F4F">
        <w:t xml:space="preserve">records </w:t>
      </w:r>
      <w:r>
        <w:t>(</w:t>
      </w:r>
      <w:r>
        <w:rPr>
          <w:rFonts w:eastAsia="Calibri"/>
        </w:rPr>
        <w:t>2005-2021</w:t>
      </w:r>
      <w:r>
        <w:t xml:space="preserve">). The primary outcome was </w:t>
      </w:r>
      <w:proofErr w:type="spellStart"/>
      <w:r>
        <w:t>iHMV</w:t>
      </w:r>
      <w:proofErr w:type="spellEnd"/>
      <w:r>
        <w:t xml:space="preserve"> duration, defined as time </w:t>
      </w:r>
      <w:r w:rsidRPr="00B22D8B">
        <w:t xml:space="preserve">from initial discharge home on </w:t>
      </w:r>
      <w:proofErr w:type="spellStart"/>
      <w:r>
        <w:t>i</w:t>
      </w:r>
      <w:r w:rsidRPr="00B22D8B">
        <w:t>HMV</w:t>
      </w:r>
      <w:proofErr w:type="spellEnd"/>
      <w:r w:rsidRPr="00B22D8B">
        <w:t xml:space="preserve"> until </w:t>
      </w:r>
      <w:r>
        <w:t xml:space="preserve">cessation of </w:t>
      </w:r>
      <w:r w:rsidRPr="00B22D8B">
        <w:t xml:space="preserve">positive pressure ventilation </w:t>
      </w:r>
      <w:r>
        <w:t>(</w:t>
      </w:r>
      <w:r w:rsidRPr="00B22D8B">
        <w:t>day and night</w:t>
      </w:r>
      <w:r>
        <w:t>)</w:t>
      </w:r>
      <w:r w:rsidRPr="00B22D8B">
        <w:t xml:space="preserve">. </w:t>
      </w:r>
      <w:r>
        <w:rPr>
          <w:color w:val="212529"/>
        </w:rPr>
        <w:t>Two new variables were included: c</w:t>
      </w:r>
      <w:r w:rsidRPr="008D1A16">
        <w:rPr>
          <w:color w:val="212529"/>
        </w:rPr>
        <w:t>orrected tracheostomy age</w:t>
      </w:r>
      <w:r>
        <w:rPr>
          <w:color w:val="212529"/>
        </w:rPr>
        <w:t xml:space="preserve"> (CTA) (</w:t>
      </w:r>
      <w:r w:rsidRPr="008D1A16">
        <w:rPr>
          <w:color w:val="212529"/>
        </w:rPr>
        <w:t>chronological age at discharge minus age at tracheotomy</w:t>
      </w:r>
      <w:r>
        <w:rPr>
          <w:color w:val="212529"/>
        </w:rPr>
        <w:t>) and l</w:t>
      </w:r>
      <w:r w:rsidRPr="008D1A16">
        <w:rPr>
          <w:color w:val="212529"/>
        </w:rPr>
        <w:t>evel of ventilator support at discharge</w:t>
      </w:r>
      <w:r>
        <w:rPr>
          <w:color w:val="212529"/>
        </w:rPr>
        <w:t xml:space="preserve"> (</w:t>
      </w:r>
      <w:r w:rsidRPr="008D1A16">
        <w:rPr>
          <w:color w:val="212529"/>
        </w:rPr>
        <w:t>minute ventilation per kg per day</w:t>
      </w:r>
      <w:r>
        <w:rPr>
          <w:color w:val="212529"/>
        </w:rPr>
        <w:t>)</w:t>
      </w:r>
      <w:r>
        <w:t>. Univariable Cox regression was</w:t>
      </w:r>
      <w:r w:rsidRPr="00EC3483">
        <w:t xml:space="preserve"> performed </w:t>
      </w:r>
      <w:r>
        <w:t xml:space="preserve">with </w:t>
      </w:r>
      <w:r w:rsidRPr="00EC3483">
        <w:t xml:space="preserve">variables of interest </w:t>
      </w:r>
      <w:r>
        <w:t xml:space="preserve">compared to </w:t>
      </w:r>
      <w:proofErr w:type="spellStart"/>
      <w:r>
        <w:t>i</w:t>
      </w:r>
      <w:r w:rsidRPr="008E1024">
        <w:t>HMV</w:t>
      </w:r>
      <w:proofErr w:type="spellEnd"/>
      <w:r w:rsidRPr="008E1024">
        <w:t xml:space="preserve"> </w:t>
      </w:r>
      <w:r>
        <w:t>duration</w:t>
      </w:r>
      <w:r w:rsidRPr="00EC3483">
        <w:t xml:space="preserve">. </w:t>
      </w:r>
      <w:r w:rsidRPr="008E1024">
        <w:t xml:space="preserve">Significant </w:t>
      </w:r>
      <w:r>
        <w:t xml:space="preserve">nonlinear </w:t>
      </w:r>
      <w:r w:rsidRPr="008E1024">
        <w:t xml:space="preserve">factors (P&lt;0.05) were included in </w:t>
      </w:r>
      <w:r>
        <w:t xml:space="preserve">the </w:t>
      </w:r>
      <w:r w:rsidRPr="008E1024">
        <w:t>multivariable analysis.</w:t>
      </w:r>
    </w:p>
    <w:p w14:paraId="4B287E7E" w14:textId="77777777" w:rsidR="007E097D" w:rsidRPr="003D6568" w:rsidRDefault="007E097D" w:rsidP="002A142F">
      <w:pPr>
        <w:contextualSpacing/>
        <w:rPr>
          <w:b/>
          <w:bCs/>
        </w:rPr>
      </w:pPr>
    </w:p>
    <w:p w14:paraId="6B898701" w14:textId="77777777" w:rsidR="007E097D" w:rsidRPr="003D6568" w:rsidRDefault="007E097D" w:rsidP="002A142F">
      <w:pPr>
        <w:contextualSpacing/>
        <w:rPr>
          <w:b/>
          <w:bCs/>
        </w:rPr>
      </w:pPr>
      <w:r w:rsidRPr="003D6568">
        <w:rPr>
          <w:b/>
          <w:bCs/>
        </w:rPr>
        <w:t>Results</w:t>
      </w:r>
    </w:p>
    <w:p w14:paraId="160D2C66" w14:textId="77777777" w:rsidR="007E097D" w:rsidRDefault="007E097D" w:rsidP="002A142F">
      <w:pPr>
        <w:contextualSpacing/>
        <w:rPr>
          <w:b/>
          <w:bCs/>
        </w:rPr>
      </w:pPr>
    </w:p>
    <w:p w14:paraId="126D026D" w14:textId="77777777" w:rsidR="007E097D" w:rsidRPr="005A412E" w:rsidRDefault="007E097D" w:rsidP="002A142F">
      <w:pPr>
        <w:contextualSpacing/>
        <w:rPr>
          <w:iCs/>
        </w:rPr>
      </w:pPr>
      <w:r>
        <w:rPr>
          <w:color w:val="212529"/>
        </w:rPr>
        <w:t>One-hundred-and-nineteen</w:t>
      </w:r>
      <w:r w:rsidRPr="003E7B93">
        <w:rPr>
          <w:color w:val="212529"/>
        </w:rPr>
        <w:t xml:space="preserve"> patients </w:t>
      </w:r>
      <w:r>
        <w:rPr>
          <w:color w:val="212529"/>
        </w:rPr>
        <w:t xml:space="preserve">used </w:t>
      </w:r>
      <w:proofErr w:type="spellStart"/>
      <w:r>
        <w:rPr>
          <w:color w:val="212529"/>
        </w:rPr>
        <w:t>iHMV</w:t>
      </w:r>
      <w:proofErr w:type="spellEnd"/>
      <w:r>
        <w:rPr>
          <w:color w:val="212529"/>
        </w:rPr>
        <w:t xml:space="preserve"> primarily for CLD of prematurity</w:t>
      </w:r>
      <w:r>
        <w:t xml:space="preserve">. Patient median index hospitalization lasted 12 months (IQR 8.0,14.4). </w:t>
      </w:r>
      <w:r>
        <w:rPr>
          <w:color w:val="212529"/>
        </w:rPr>
        <w:t>Once home, half</w:t>
      </w:r>
      <w:r w:rsidRPr="003E7B93">
        <w:rPr>
          <w:color w:val="212529"/>
        </w:rPr>
        <w:t xml:space="preserve"> </w:t>
      </w:r>
      <w:r>
        <w:rPr>
          <w:color w:val="212529"/>
        </w:rPr>
        <w:t xml:space="preserve">of patients </w:t>
      </w:r>
      <w:r w:rsidRPr="003E7B93">
        <w:rPr>
          <w:color w:val="212529"/>
        </w:rPr>
        <w:t xml:space="preserve">were </w:t>
      </w:r>
      <w:r w:rsidRPr="00ED486D">
        <w:rPr>
          <w:color w:val="212529"/>
        </w:rPr>
        <w:t xml:space="preserve">weaned off </w:t>
      </w:r>
      <w:proofErr w:type="spellStart"/>
      <w:r w:rsidRPr="00ED486D">
        <w:rPr>
          <w:color w:val="212529"/>
        </w:rPr>
        <w:t>iHMV</w:t>
      </w:r>
      <w:proofErr w:type="spellEnd"/>
      <w:r w:rsidRPr="00ED486D">
        <w:rPr>
          <w:color w:val="212529"/>
        </w:rPr>
        <w:t xml:space="preserve"> by </w:t>
      </w:r>
      <w:r>
        <w:rPr>
          <w:color w:val="212529"/>
        </w:rPr>
        <w:t>36.0</w:t>
      </w:r>
      <w:r w:rsidRPr="00ED486D">
        <w:rPr>
          <w:color w:val="212529"/>
        </w:rPr>
        <w:t xml:space="preserve"> months and 90% by 52.2 months</w:t>
      </w:r>
      <w:r w:rsidRPr="00590D92">
        <w:rPr>
          <w:iCs/>
        </w:rPr>
        <w:t>.</w:t>
      </w:r>
      <w:r>
        <w:rPr>
          <w:iCs/>
        </w:rPr>
        <w:t xml:space="preserve"> </w:t>
      </w:r>
      <w:r>
        <w:rPr>
          <w:color w:val="212529"/>
        </w:rPr>
        <w:t>Being</w:t>
      </w:r>
      <w:r w:rsidRPr="00574898">
        <w:rPr>
          <w:color w:val="212529"/>
        </w:rPr>
        <w:t xml:space="preserve"> Hispanic/</w:t>
      </w:r>
      <w:proofErr w:type="spellStart"/>
      <w:r w:rsidRPr="00574898">
        <w:rPr>
          <w:color w:val="212529"/>
        </w:rPr>
        <w:t>Lantix</w:t>
      </w:r>
      <w:proofErr w:type="spellEnd"/>
      <w:r w:rsidRPr="00574898">
        <w:rPr>
          <w:color w:val="212529"/>
        </w:rPr>
        <w:t xml:space="preserve"> ethnicity (HR 0.14 (95% CI 0.04, 0.53), p&lt;0.01) and</w:t>
      </w:r>
      <w:r>
        <w:rPr>
          <w:color w:val="212529"/>
        </w:rPr>
        <w:t xml:space="preserve"> having a</w:t>
      </w:r>
      <w:r w:rsidRPr="00574898">
        <w:rPr>
          <w:color w:val="212529"/>
        </w:rPr>
        <w:t xml:space="preserve"> higher </w:t>
      </w:r>
      <w:r>
        <w:rPr>
          <w:color w:val="212529"/>
        </w:rPr>
        <w:t>CTA</w:t>
      </w:r>
      <w:r w:rsidRPr="00574898">
        <w:rPr>
          <w:color w:val="212529"/>
        </w:rPr>
        <w:t xml:space="preserve"> </w:t>
      </w:r>
      <w:r>
        <w:rPr>
          <w:color w:val="212529"/>
        </w:rPr>
        <w:t>were associated with increased</w:t>
      </w:r>
      <w:r w:rsidRPr="00574898">
        <w:rPr>
          <w:color w:val="212529"/>
        </w:rPr>
        <w:t xml:space="preserve"> </w:t>
      </w:r>
      <w:proofErr w:type="spellStart"/>
      <w:r w:rsidRPr="00574898">
        <w:rPr>
          <w:color w:val="212529"/>
        </w:rPr>
        <w:t>iHMV</w:t>
      </w:r>
      <w:proofErr w:type="spellEnd"/>
      <w:r w:rsidRPr="00574898">
        <w:rPr>
          <w:color w:val="212529"/>
        </w:rPr>
        <w:t xml:space="preserve"> </w:t>
      </w:r>
      <w:r>
        <w:rPr>
          <w:color w:val="212529"/>
        </w:rPr>
        <w:t xml:space="preserve">duration </w:t>
      </w:r>
      <w:r w:rsidRPr="00574898">
        <w:rPr>
          <w:color w:val="212529"/>
        </w:rPr>
        <w:t>(HR 0.66 (CI 0.43, 0.98), p&lt;0.05</w:t>
      </w:r>
      <w:r>
        <w:rPr>
          <w:color w:val="212529"/>
        </w:rPr>
        <w:t>)</w:t>
      </w:r>
      <w:r w:rsidRPr="00574898">
        <w:rPr>
          <w:color w:val="212529"/>
        </w:rPr>
        <w:t>.</w:t>
      </w:r>
    </w:p>
    <w:p w14:paraId="7B02BA01" w14:textId="77777777" w:rsidR="007E097D" w:rsidRPr="003D6568" w:rsidRDefault="007E097D" w:rsidP="002A142F">
      <w:pPr>
        <w:contextualSpacing/>
        <w:rPr>
          <w:b/>
          <w:bCs/>
        </w:rPr>
      </w:pPr>
    </w:p>
    <w:p w14:paraId="32A6B139" w14:textId="77777777" w:rsidR="007E097D" w:rsidRDefault="007E097D" w:rsidP="002A142F">
      <w:pPr>
        <w:contextualSpacing/>
        <w:rPr>
          <w:b/>
          <w:bCs/>
        </w:rPr>
      </w:pPr>
      <w:r w:rsidRPr="003D6568">
        <w:rPr>
          <w:b/>
          <w:bCs/>
        </w:rPr>
        <w:t>Conclusions</w:t>
      </w:r>
    </w:p>
    <w:p w14:paraId="3FE9B119" w14:textId="77777777" w:rsidR="007E097D" w:rsidRPr="003D6568" w:rsidRDefault="007E097D" w:rsidP="002A142F">
      <w:pPr>
        <w:contextualSpacing/>
        <w:rPr>
          <w:b/>
          <w:bCs/>
        </w:rPr>
      </w:pPr>
    </w:p>
    <w:p w14:paraId="033BDA50" w14:textId="77777777" w:rsidR="007E097D" w:rsidRDefault="007E097D" w:rsidP="005013CB">
      <w:r w:rsidRPr="00D027D6">
        <w:t xml:space="preserve">Disparity in </w:t>
      </w:r>
      <w:proofErr w:type="spellStart"/>
      <w:r w:rsidRPr="00D027D6">
        <w:t>iHMV</w:t>
      </w:r>
      <w:proofErr w:type="spellEnd"/>
      <w:r w:rsidRPr="00D027D6">
        <w:t xml:space="preserve"> </w:t>
      </w:r>
      <w:r>
        <w:t xml:space="preserve">duration </w:t>
      </w:r>
      <w:r w:rsidRPr="00D027D6">
        <w:t xml:space="preserve">exists among patients using </w:t>
      </w:r>
      <w:proofErr w:type="spellStart"/>
      <w:r w:rsidRPr="00D027D6">
        <w:t>iHMV</w:t>
      </w:r>
      <w:proofErr w:type="spellEnd"/>
      <w:r w:rsidRPr="00D027D6">
        <w:t xml:space="preserve"> after prematurity</w:t>
      </w:r>
      <w:r>
        <w:t xml:space="preserve">. </w:t>
      </w:r>
      <w:r w:rsidRPr="009E2C74">
        <w:t xml:space="preserve">Prospective multisite studies </w:t>
      </w:r>
      <w:r>
        <w:t xml:space="preserve">that further investigate new analytic variables, such as CTA and level of ventilator support, and address standardization of </w:t>
      </w:r>
      <w:proofErr w:type="spellStart"/>
      <w:r>
        <w:t>iHMV</w:t>
      </w:r>
      <w:proofErr w:type="spellEnd"/>
      <w:r>
        <w:t xml:space="preserve"> care are needed to create more </w:t>
      </w:r>
      <w:r w:rsidRPr="009E2C74">
        <w:t xml:space="preserve">equitable </w:t>
      </w:r>
      <w:proofErr w:type="spellStart"/>
      <w:r w:rsidRPr="009E2C74">
        <w:t>iHMV</w:t>
      </w:r>
      <w:proofErr w:type="spellEnd"/>
      <w:r w:rsidRPr="009E2C74">
        <w:t xml:space="preserve"> management strategies.</w:t>
      </w:r>
    </w:p>
    <w:p w14:paraId="2A32D474" w14:textId="77777777" w:rsidR="007E097D" w:rsidRDefault="007E097D">
      <w:pPr>
        <w:spacing w:line="259" w:lineRule="auto"/>
        <w:rPr>
          <w:rFonts w:eastAsiaTheme="majorEastAsia" w:cstheme="majorBidi"/>
          <w:b/>
          <w:color w:val="000000" w:themeColor="text1"/>
          <w:szCs w:val="32"/>
        </w:rPr>
      </w:pPr>
      <w:r>
        <w:br w:type="page"/>
      </w:r>
    </w:p>
    <w:p w14:paraId="7B0D321E" w14:textId="77777777" w:rsidR="007E097D" w:rsidRPr="003D6568" w:rsidRDefault="007E097D" w:rsidP="002A142F">
      <w:pPr>
        <w:pStyle w:val="Heading1"/>
        <w:spacing w:line="240" w:lineRule="auto"/>
      </w:pPr>
      <w:r w:rsidRPr="003D6568">
        <w:lastRenderedPageBreak/>
        <w:t>Introduction</w:t>
      </w:r>
    </w:p>
    <w:p w14:paraId="4448A0C9" w14:textId="77777777" w:rsidR="007E097D" w:rsidRPr="003D6568" w:rsidRDefault="007E097D" w:rsidP="002A142F">
      <w:pPr>
        <w:contextualSpacing/>
        <w:rPr>
          <w:rFonts w:eastAsia="Calibri"/>
          <w:b/>
        </w:rPr>
      </w:pPr>
    </w:p>
    <w:p w14:paraId="314D0A79" w14:textId="77777777" w:rsidR="007E097D" w:rsidRDefault="007E097D" w:rsidP="004A57EB">
      <w:pPr>
        <w:spacing w:line="480" w:lineRule="auto"/>
        <w:ind w:firstLine="720"/>
        <w:contextualSpacing/>
        <w:rPr>
          <w:rFonts w:eastAsia="Calibri"/>
          <w:bCs/>
        </w:rPr>
      </w:pPr>
      <w:r>
        <w:rPr>
          <w:rFonts w:eastAsia="Calibri"/>
          <w:bCs/>
        </w:rPr>
        <w:t>Due to</w:t>
      </w:r>
      <w:r w:rsidRPr="003D6568">
        <w:rPr>
          <w:rFonts w:eastAsia="Calibri"/>
          <w:bCs/>
        </w:rPr>
        <w:t xml:space="preserve"> clinical and technological advances</w:t>
      </w:r>
      <w:r>
        <w:rPr>
          <w:rFonts w:eastAsia="Calibri"/>
          <w:bCs/>
        </w:rPr>
        <w:t xml:space="preserve"> over the</w:t>
      </w:r>
      <w:r w:rsidRPr="003D6568">
        <w:rPr>
          <w:rFonts w:eastAsia="Calibri"/>
          <w:bCs/>
        </w:rPr>
        <w:t xml:space="preserve"> past 20-30 years, </w:t>
      </w:r>
      <w:r>
        <w:rPr>
          <w:rFonts w:eastAsia="Calibri"/>
          <w:bCs/>
        </w:rPr>
        <w:t>c</w:t>
      </w:r>
      <w:r w:rsidRPr="003D6568">
        <w:rPr>
          <w:rFonts w:eastAsia="Calibri"/>
          <w:bCs/>
        </w:rPr>
        <w:t xml:space="preserve">hildren with severe chronic lung disease (CLD) </w:t>
      </w:r>
      <w:r>
        <w:rPr>
          <w:rFonts w:eastAsia="Calibri"/>
          <w:bCs/>
        </w:rPr>
        <w:t>of</w:t>
      </w:r>
      <w:r w:rsidRPr="003D6568">
        <w:rPr>
          <w:rFonts w:eastAsia="Calibri"/>
          <w:bCs/>
        </w:rPr>
        <w:t xml:space="preserve"> prematurity </w:t>
      </w:r>
      <w:r>
        <w:rPr>
          <w:rFonts w:eastAsia="Calibri"/>
          <w:bCs/>
        </w:rPr>
        <w:t>are increasingly discharged home on long-term</w:t>
      </w:r>
      <w:r w:rsidRPr="003D6568">
        <w:rPr>
          <w:rFonts w:eastAsia="Calibri"/>
          <w:bCs/>
        </w:rPr>
        <w:t xml:space="preserve"> </w:t>
      </w:r>
      <w:r>
        <w:rPr>
          <w:rFonts w:eastAsia="Calibri"/>
          <w:bCs/>
        </w:rPr>
        <w:t xml:space="preserve">invasive </w:t>
      </w:r>
      <w:r w:rsidRPr="003D6568">
        <w:rPr>
          <w:rFonts w:eastAsia="Calibri"/>
          <w:bCs/>
        </w:rPr>
        <w:t>mechanical ventilation via tracheostomy</w:t>
      </w:r>
      <w:r>
        <w:rPr>
          <w:rFonts w:eastAsia="Calibri"/>
          <w:bCs/>
        </w:rPr>
        <w:t>.</w:t>
      </w:r>
      <w:r w:rsidRPr="0089558B">
        <w:rPr>
          <w:rFonts w:eastAsia="Calibri"/>
          <w:bCs/>
          <w:noProof/>
          <w:vertAlign w:val="superscript"/>
        </w:rPr>
        <w:t xml:space="preserve"> 1-8</w:t>
      </w:r>
      <w:r>
        <w:rPr>
          <w:rFonts w:eastAsia="Calibri"/>
          <w:bCs/>
        </w:rPr>
        <w:t xml:space="preserve"> In one estimate, the </w:t>
      </w:r>
      <w:r w:rsidRPr="003D6568">
        <w:rPr>
          <w:rFonts w:eastAsia="Calibri"/>
          <w:bCs/>
        </w:rPr>
        <w:t xml:space="preserve">number of children with severe CLD reliant on </w:t>
      </w:r>
      <w:r>
        <w:rPr>
          <w:rFonts w:eastAsia="Calibri"/>
          <w:bCs/>
        </w:rPr>
        <w:t>invasive home mechanical ventilation (</w:t>
      </w:r>
      <w:proofErr w:type="spellStart"/>
      <w:r>
        <w:rPr>
          <w:rFonts w:eastAsia="Calibri"/>
          <w:bCs/>
        </w:rPr>
        <w:t>iHMV</w:t>
      </w:r>
      <w:proofErr w:type="spellEnd"/>
      <w:r>
        <w:rPr>
          <w:rFonts w:eastAsia="Calibri"/>
          <w:bCs/>
        </w:rPr>
        <w:t xml:space="preserve">) has </w:t>
      </w:r>
      <w:r w:rsidRPr="003D6568">
        <w:rPr>
          <w:rFonts w:eastAsia="Calibri"/>
          <w:bCs/>
        </w:rPr>
        <w:t>quadrupled from 1.2 per 100,000 to 4.8 per 100,000 between 1984 and 2010</w:t>
      </w:r>
      <w:r>
        <w:rPr>
          <w:rFonts w:eastAsia="Calibri"/>
          <w:bCs/>
        </w:rPr>
        <w:t>.</w:t>
      </w:r>
      <w:r w:rsidRPr="0089558B">
        <w:rPr>
          <w:rFonts w:eastAsia="Calibri"/>
          <w:bCs/>
          <w:noProof/>
          <w:vertAlign w:val="superscript"/>
        </w:rPr>
        <w:t xml:space="preserve"> 1</w:t>
      </w:r>
      <w:r>
        <w:rPr>
          <w:rFonts w:eastAsia="Calibri"/>
          <w:bCs/>
        </w:rPr>
        <w:t xml:space="preserve"> While </w:t>
      </w:r>
      <w:proofErr w:type="spellStart"/>
      <w:r>
        <w:rPr>
          <w:rFonts w:eastAsia="Calibri"/>
          <w:bCs/>
        </w:rPr>
        <w:t>iHMV</w:t>
      </w:r>
      <w:proofErr w:type="spellEnd"/>
      <w:r>
        <w:rPr>
          <w:rFonts w:eastAsia="Calibri"/>
          <w:bCs/>
        </w:rPr>
        <w:t xml:space="preserve"> provides </w:t>
      </w:r>
      <w:r w:rsidRPr="004C6951">
        <w:rPr>
          <w:rFonts w:eastAsia="Calibri"/>
          <w:bCs/>
        </w:rPr>
        <w:t>essential</w:t>
      </w:r>
      <w:r>
        <w:rPr>
          <w:rFonts w:eastAsia="Calibri"/>
          <w:bCs/>
        </w:rPr>
        <w:t xml:space="preserve"> life-sustaining support to children, </w:t>
      </w:r>
      <w:proofErr w:type="spellStart"/>
      <w:r>
        <w:rPr>
          <w:rFonts w:eastAsia="Calibri"/>
          <w:bCs/>
        </w:rPr>
        <w:t>iHMV</w:t>
      </w:r>
      <w:proofErr w:type="spellEnd"/>
      <w:r>
        <w:rPr>
          <w:rFonts w:eastAsia="Calibri"/>
          <w:bCs/>
        </w:rPr>
        <w:t xml:space="preserve"> can limit patient development and social participation,</w:t>
      </w:r>
      <w:r w:rsidRPr="002B3BC5">
        <w:rPr>
          <w:rFonts w:eastAsia="Calibri"/>
          <w:bCs/>
          <w:noProof/>
          <w:vertAlign w:val="superscript"/>
        </w:rPr>
        <w:t xml:space="preserve"> 9</w:t>
      </w:r>
      <w:r>
        <w:rPr>
          <w:rFonts w:eastAsia="Calibri"/>
          <w:bCs/>
        </w:rPr>
        <w:t xml:space="preserve"> negatively impact family wellbeing,</w:t>
      </w:r>
      <w:r w:rsidRPr="002B3BC5">
        <w:rPr>
          <w:rFonts w:eastAsia="Calibri"/>
          <w:bCs/>
          <w:noProof/>
          <w:vertAlign w:val="superscript"/>
        </w:rPr>
        <w:t xml:space="preserve"> 9-13</w:t>
      </w:r>
      <w:r>
        <w:rPr>
          <w:rFonts w:eastAsia="Calibri"/>
          <w:bCs/>
        </w:rPr>
        <w:t xml:space="preserve"> and lead to high-cost equipment rental and home nursing service expenditures.</w:t>
      </w:r>
      <w:r w:rsidRPr="00173E48">
        <w:rPr>
          <w:rFonts w:eastAsia="Calibri"/>
          <w:bCs/>
          <w:noProof/>
          <w:vertAlign w:val="superscript"/>
        </w:rPr>
        <w:t xml:space="preserve"> 14,15</w:t>
      </w:r>
    </w:p>
    <w:p w14:paraId="73979A6C" w14:textId="77777777" w:rsidR="007E097D" w:rsidRDefault="007E097D" w:rsidP="00FB7838">
      <w:pPr>
        <w:spacing w:line="480" w:lineRule="auto"/>
        <w:ind w:firstLine="720"/>
        <w:contextualSpacing/>
        <w:rPr>
          <w:rFonts w:eastAsia="Calibri"/>
          <w:bCs/>
        </w:rPr>
      </w:pPr>
      <w:r>
        <w:rPr>
          <w:rFonts w:eastAsia="Calibri"/>
          <w:bCs/>
        </w:rPr>
        <w:t xml:space="preserve">Understanding which factors contribute to the duration of time children </w:t>
      </w:r>
      <w:r w:rsidRPr="003D6568">
        <w:rPr>
          <w:rFonts w:eastAsia="Calibri"/>
          <w:bCs/>
        </w:rPr>
        <w:t xml:space="preserve">with CLD </w:t>
      </w:r>
      <w:r>
        <w:rPr>
          <w:rFonts w:eastAsia="Calibri"/>
          <w:bCs/>
        </w:rPr>
        <w:t xml:space="preserve">spend on </w:t>
      </w:r>
      <w:proofErr w:type="spellStart"/>
      <w:r>
        <w:rPr>
          <w:rFonts w:eastAsia="Calibri"/>
          <w:bCs/>
        </w:rPr>
        <w:t>iHMV</w:t>
      </w:r>
      <w:proofErr w:type="spellEnd"/>
      <w:r>
        <w:rPr>
          <w:rFonts w:eastAsia="Calibri"/>
          <w:bCs/>
        </w:rPr>
        <w:t xml:space="preserve"> remains an understudied area. Previous seminal </w:t>
      </w:r>
      <w:r w:rsidRPr="003D6568">
        <w:rPr>
          <w:rFonts w:eastAsia="Calibri"/>
          <w:bCs/>
        </w:rPr>
        <w:t xml:space="preserve">studies have </w:t>
      </w:r>
      <w:r>
        <w:rPr>
          <w:rFonts w:eastAsia="Calibri"/>
          <w:bCs/>
        </w:rPr>
        <w:t>described</w:t>
      </w:r>
      <w:r w:rsidRPr="003D6568">
        <w:rPr>
          <w:rFonts w:eastAsia="Calibri"/>
          <w:bCs/>
        </w:rPr>
        <w:t xml:space="preserve"> </w:t>
      </w:r>
      <w:r>
        <w:rPr>
          <w:rFonts w:eastAsia="Calibri"/>
          <w:bCs/>
        </w:rPr>
        <w:t xml:space="preserve">tracheostomy duration, total invasive </w:t>
      </w:r>
      <w:proofErr w:type="spellStart"/>
      <w:r>
        <w:rPr>
          <w:rFonts w:eastAsia="Calibri"/>
          <w:bCs/>
        </w:rPr>
        <w:t>iHMV</w:t>
      </w:r>
      <w:proofErr w:type="spellEnd"/>
      <w:r>
        <w:rPr>
          <w:rFonts w:eastAsia="Calibri"/>
          <w:bCs/>
        </w:rPr>
        <w:t xml:space="preserve"> </w:t>
      </w:r>
      <w:r w:rsidRPr="003D6568">
        <w:rPr>
          <w:rFonts w:eastAsia="Calibri"/>
          <w:bCs/>
        </w:rPr>
        <w:t>duration</w:t>
      </w:r>
      <w:r>
        <w:rPr>
          <w:rFonts w:eastAsia="Calibri"/>
          <w:bCs/>
        </w:rPr>
        <w:t xml:space="preserve">, and factors associated with </w:t>
      </w:r>
      <w:proofErr w:type="spellStart"/>
      <w:r>
        <w:rPr>
          <w:rFonts w:eastAsia="Calibri"/>
          <w:bCs/>
        </w:rPr>
        <w:t>iHMV</w:t>
      </w:r>
      <w:proofErr w:type="spellEnd"/>
      <w:r>
        <w:rPr>
          <w:rFonts w:eastAsia="Calibri"/>
          <w:bCs/>
        </w:rPr>
        <w:t xml:space="preserve"> </w:t>
      </w:r>
      <w:r w:rsidRPr="004A57EB">
        <w:rPr>
          <w:rFonts w:eastAsia="Calibri"/>
          <w:bCs/>
        </w:rPr>
        <w:t xml:space="preserve">liberation </w:t>
      </w:r>
      <w:r>
        <w:rPr>
          <w:rFonts w:eastAsia="Calibri"/>
          <w:bCs/>
        </w:rPr>
        <w:t xml:space="preserve">and mortality on </w:t>
      </w:r>
      <w:proofErr w:type="spellStart"/>
      <w:r>
        <w:rPr>
          <w:rFonts w:eastAsia="Calibri"/>
          <w:bCs/>
        </w:rPr>
        <w:t>iHMV</w:t>
      </w:r>
      <w:proofErr w:type="spellEnd"/>
      <w:r>
        <w:rPr>
          <w:rFonts w:eastAsia="Calibri"/>
          <w:bCs/>
        </w:rPr>
        <w:t>.</w:t>
      </w:r>
      <w:r w:rsidRPr="000D49B6">
        <w:rPr>
          <w:rFonts w:eastAsia="Calibri"/>
          <w:bCs/>
          <w:noProof/>
          <w:vertAlign w:val="superscript"/>
        </w:rPr>
        <w:t xml:space="preserve"> 1,2,4,16-20</w:t>
      </w:r>
      <w:r w:rsidRPr="004A57EB">
        <w:rPr>
          <w:rFonts w:eastAsia="Calibri"/>
          <w:bCs/>
        </w:rPr>
        <w:t xml:space="preserve"> </w:t>
      </w:r>
      <w:r>
        <w:rPr>
          <w:rFonts w:eastAsia="Calibri"/>
          <w:bCs/>
        </w:rPr>
        <w:t>However,</w:t>
      </w:r>
      <w:r w:rsidRPr="003D6568">
        <w:rPr>
          <w:rFonts w:eastAsia="Calibri"/>
          <w:bCs/>
        </w:rPr>
        <w:t xml:space="preserve"> </w:t>
      </w:r>
      <w:r>
        <w:rPr>
          <w:rFonts w:eastAsia="Calibri"/>
          <w:bCs/>
        </w:rPr>
        <w:t>to our knowledge, the literature has not yet</w:t>
      </w:r>
      <w:r w:rsidRPr="003D6568">
        <w:rPr>
          <w:rFonts w:eastAsia="Calibri"/>
          <w:bCs/>
        </w:rPr>
        <w:t xml:space="preserve"> identified </w:t>
      </w:r>
      <w:r>
        <w:rPr>
          <w:rFonts w:eastAsia="Calibri"/>
          <w:bCs/>
        </w:rPr>
        <w:t>factors</w:t>
      </w:r>
      <w:r w:rsidRPr="003D6568">
        <w:rPr>
          <w:rFonts w:eastAsia="Calibri"/>
          <w:bCs/>
        </w:rPr>
        <w:t xml:space="preserve"> associated with</w:t>
      </w:r>
      <w:r>
        <w:rPr>
          <w:rFonts w:eastAsia="Calibri"/>
          <w:bCs/>
        </w:rPr>
        <w:t xml:space="preserve"> </w:t>
      </w:r>
      <w:r w:rsidRPr="00F97D1F">
        <w:rPr>
          <w:rFonts w:eastAsia="Calibri"/>
          <w:bCs/>
        </w:rPr>
        <w:t>duration</w:t>
      </w:r>
      <w:r>
        <w:rPr>
          <w:rFonts w:eastAsia="Calibri"/>
          <w:bCs/>
        </w:rPr>
        <w:t xml:space="preserve"> of time children spend on positive pressure </w:t>
      </w:r>
      <w:proofErr w:type="spellStart"/>
      <w:r>
        <w:rPr>
          <w:rFonts w:eastAsia="Calibri"/>
          <w:bCs/>
        </w:rPr>
        <w:t>iHMV</w:t>
      </w:r>
      <w:proofErr w:type="spellEnd"/>
      <w:r>
        <w:rPr>
          <w:rFonts w:eastAsia="Calibri"/>
          <w:bCs/>
        </w:rPr>
        <w:t xml:space="preserve"> once home</w:t>
      </w:r>
      <w:r w:rsidRPr="003D6568">
        <w:rPr>
          <w:rFonts w:eastAsia="Calibri"/>
          <w:bCs/>
        </w:rPr>
        <w:t xml:space="preserve">. </w:t>
      </w:r>
      <w:r>
        <w:rPr>
          <w:rFonts w:eastAsia="Calibri"/>
          <w:bCs/>
        </w:rPr>
        <w:t>A recent review stated that early predictors of long-term outcomes remain unclear,</w:t>
      </w:r>
      <w:r w:rsidRPr="000D49B6">
        <w:rPr>
          <w:rFonts w:eastAsia="Calibri"/>
          <w:bCs/>
          <w:noProof/>
          <w:vertAlign w:val="superscript"/>
        </w:rPr>
        <w:t xml:space="preserve"> 21</w:t>
      </w:r>
      <w:r>
        <w:rPr>
          <w:rFonts w:eastAsia="Calibri"/>
          <w:bCs/>
        </w:rPr>
        <w:t xml:space="preserve"> and there exists a comparative lack of evidence-based guidelines for post-discharge management of </w:t>
      </w:r>
      <w:proofErr w:type="spellStart"/>
      <w:r>
        <w:rPr>
          <w:rFonts w:eastAsia="Calibri"/>
          <w:bCs/>
        </w:rPr>
        <w:t>iHMV</w:t>
      </w:r>
      <w:proofErr w:type="spellEnd"/>
      <w:r>
        <w:rPr>
          <w:rFonts w:eastAsia="Calibri"/>
          <w:bCs/>
        </w:rPr>
        <w:t xml:space="preserve"> compared to other respiratory diseases of childhood.</w:t>
      </w:r>
      <w:r w:rsidRPr="000D49B6">
        <w:rPr>
          <w:rFonts w:eastAsia="Calibri"/>
          <w:bCs/>
          <w:noProof/>
          <w:vertAlign w:val="superscript"/>
        </w:rPr>
        <w:t xml:space="preserve"> 22</w:t>
      </w:r>
      <w:r>
        <w:rPr>
          <w:rFonts w:eastAsia="Calibri"/>
          <w:bCs/>
        </w:rPr>
        <w:t xml:space="preserve"> Additionally, we are unaware of studies specifically focusing on factors impacting just the ventilation period at home. Given that </w:t>
      </w:r>
      <w:proofErr w:type="spellStart"/>
      <w:r>
        <w:rPr>
          <w:rFonts w:eastAsia="Calibri"/>
          <w:bCs/>
        </w:rPr>
        <w:t>iHMV</w:t>
      </w:r>
      <w:proofErr w:type="spellEnd"/>
      <w:r>
        <w:rPr>
          <w:rFonts w:eastAsia="Calibri"/>
          <w:bCs/>
        </w:rPr>
        <w:t xml:space="preserve"> use is associated with</w:t>
      </w:r>
      <w:r w:rsidRPr="003D6568">
        <w:rPr>
          <w:rFonts w:eastAsia="Calibri"/>
          <w:bCs/>
        </w:rPr>
        <w:t xml:space="preserve"> high </w:t>
      </w:r>
      <w:r>
        <w:rPr>
          <w:rFonts w:eastAsia="Calibri"/>
          <w:bCs/>
        </w:rPr>
        <w:t>patient and family</w:t>
      </w:r>
      <w:r w:rsidRPr="003D6568">
        <w:rPr>
          <w:rFonts w:eastAsia="Calibri"/>
          <w:bCs/>
        </w:rPr>
        <w:t xml:space="preserve"> </w:t>
      </w:r>
      <w:r w:rsidRPr="00043066">
        <w:rPr>
          <w:rFonts w:eastAsia="Calibri"/>
          <w:bCs/>
        </w:rPr>
        <w:t>costs, more</w:t>
      </w:r>
      <w:r>
        <w:rPr>
          <w:rFonts w:eastAsia="Calibri"/>
          <w:bCs/>
        </w:rPr>
        <w:t xml:space="preserve"> information is needed about what factors impacts how long children with CLD spend on </w:t>
      </w:r>
      <w:proofErr w:type="spellStart"/>
      <w:r>
        <w:rPr>
          <w:rFonts w:eastAsia="Calibri"/>
          <w:bCs/>
        </w:rPr>
        <w:t>iHMV</w:t>
      </w:r>
      <w:proofErr w:type="spellEnd"/>
      <w:r>
        <w:rPr>
          <w:rFonts w:eastAsia="Calibri"/>
          <w:bCs/>
        </w:rPr>
        <w:t xml:space="preserve">. </w:t>
      </w:r>
    </w:p>
    <w:p w14:paraId="1A0C129B" w14:textId="77777777" w:rsidR="007E097D" w:rsidRPr="00DC593F" w:rsidRDefault="007E097D" w:rsidP="00493DC7">
      <w:pPr>
        <w:spacing w:line="480" w:lineRule="auto"/>
        <w:ind w:firstLine="720"/>
        <w:contextualSpacing/>
        <w:rPr>
          <w:rFonts w:eastAsia="Calibri"/>
          <w:bCs/>
        </w:rPr>
      </w:pPr>
      <w:r>
        <w:rPr>
          <w:rFonts w:eastAsia="Calibri"/>
          <w:bCs/>
        </w:rPr>
        <w:t>Therefore,</w:t>
      </w:r>
      <w:r w:rsidRPr="00DC593F">
        <w:rPr>
          <w:rFonts w:eastAsia="Calibri"/>
          <w:bCs/>
        </w:rPr>
        <w:t xml:space="preserve"> </w:t>
      </w:r>
      <w:r>
        <w:rPr>
          <w:rFonts w:eastAsia="Calibri"/>
          <w:bCs/>
        </w:rPr>
        <w:t xml:space="preserve">the </w:t>
      </w:r>
      <w:r w:rsidRPr="00DC593F">
        <w:rPr>
          <w:rFonts w:eastAsia="Calibri"/>
          <w:bCs/>
        </w:rPr>
        <w:t xml:space="preserve">goal of this </w:t>
      </w:r>
      <w:r>
        <w:rPr>
          <w:rFonts w:eastAsia="Calibri"/>
          <w:bCs/>
        </w:rPr>
        <w:t>study was to investigate the factors</w:t>
      </w:r>
      <w:r w:rsidRPr="00DC593F">
        <w:rPr>
          <w:rFonts w:eastAsia="Calibri"/>
          <w:bCs/>
        </w:rPr>
        <w:t xml:space="preserve"> associated with the duration of </w:t>
      </w:r>
      <w:proofErr w:type="spellStart"/>
      <w:r>
        <w:rPr>
          <w:rFonts w:eastAsia="Calibri"/>
          <w:bCs/>
        </w:rPr>
        <w:t>iHMV</w:t>
      </w:r>
      <w:proofErr w:type="spellEnd"/>
      <w:r>
        <w:rPr>
          <w:rFonts w:eastAsia="Calibri"/>
          <w:bCs/>
        </w:rPr>
        <w:t xml:space="preserve"> with specific focus on the duration on positive pressure ventilation in the home environment</w:t>
      </w:r>
      <w:r w:rsidRPr="00DC593F">
        <w:rPr>
          <w:rFonts w:eastAsia="Calibri"/>
          <w:bCs/>
        </w:rPr>
        <w:t>.</w:t>
      </w:r>
      <w:r w:rsidRPr="003D6568">
        <w:rPr>
          <w:rFonts w:eastAsia="Calibri"/>
          <w:bCs/>
        </w:rPr>
        <w:t xml:space="preserve"> </w:t>
      </w:r>
      <w:r>
        <w:rPr>
          <w:rFonts w:eastAsia="Calibri"/>
          <w:bCs/>
        </w:rPr>
        <w:t xml:space="preserve">Specifically, our aims were to 1) describe the variation of </w:t>
      </w:r>
      <w:proofErr w:type="spellStart"/>
      <w:r>
        <w:rPr>
          <w:rFonts w:eastAsia="Calibri"/>
          <w:bCs/>
        </w:rPr>
        <w:t>iHMV</w:t>
      </w:r>
      <w:proofErr w:type="spellEnd"/>
      <w:r>
        <w:rPr>
          <w:rFonts w:eastAsia="Calibri"/>
          <w:bCs/>
        </w:rPr>
        <w:t xml:space="preserve"> duration </w:t>
      </w:r>
      <w:r>
        <w:rPr>
          <w:rFonts w:eastAsia="Calibri"/>
          <w:bCs/>
        </w:rPr>
        <w:lastRenderedPageBreak/>
        <w:t xml:space="preserve">among a population of children with CLD of prematurity using </w:t>
      </w:r>
      <w:proofErr w:type="spellStart"/>
      <w:r>
        <w:rPr>
          <w:rFonts w:eastAsia="Calibri"/>
          <w:bCs/>
        </w:rPr>
        <w:t>iHMV</w:t>
      </w:r>
      <w:proofErr w:type="spellEnd"/>
      <w:r>
        <w:rPr>
          <w:rFonts w:eastAsia="Calibri"/>
          <w:bCs/>
        </w:rPr>
        <w:t xml:space="preserve">, and 2) </w:t>
      </w:r>
      <w:r w:rsidRPr="00DC593F">
        <w:rPr>
          <w:rFonts w:eastAsia="Calibri"/>
          <w:bCs/>
        </w:rPr>
        <w:t>identify</w:t>
      </w:r>
      <w:r>
        <w:rPr>
          <w:rFonts w:eastAsia="Calibri"/>
          <w:bCs/>
        </w:rPr>
        <w:t xml:space="preserve"> which demographic and clinical </w:t>
      </w:r>
      <w:r w:rsidRPr="00DC593F">
        <w:rPr>
          <w:rFonts w:eastAsia="Calibri"/>
          <w:bCs/>
        </w:rPr>
        <w:t xml:space="preserve">factors </w:t>
      </w:r>
      <w:r>
        <w:rPr>
          <w:rFonts w:eastAsia="Calibri"/>
          <w:bCs/>
        </w:rPr>
        <w:t xml:space="preserve">are </w:t>
      </w:r>
      <w:r w:rsidRPr="00DC593F">
        <w:rPr>
          <w:rFonts w:eastAsia="Calibri"/>
          <w:bCs/>
        </w:rPr>
        <w:t>associated with the duration of</w:t>
      </w:r>
      <w:r>
        <w:rPr>
          <w:rFonts w:eastAsia="Calibri"/>
          <w:bCs/>
        </w:rPr>
        <w:t xml:space="preserve"> their</w:t>
      </w:r>
      <w:r w:rsidRPr="00DC593F">
        <w:rPr>
          <w:rFonts w:eastAsia="Calibri"/>
          <w:bCs/>
        </w:rPr>
        <w:t xml:space="preserve"> </w:t>
      </w:r>
      <w:proofErr w:type="spellStart"/>
      <w:r>
        <w:rPr>
          <w:rFonts w:eastAsia="Calibri"/>
          <w:bCs/>
        </w:rPr>
        <w:t>iHMV</w:t>
      </w:r>
      <w:proofErr w:type="spellEnd"/>
      <w:r w:rsidRPr="00DC593F">
        <w:rPr>
          <w:rFonts w:eastAsia="Calibri"/>
          <w:bCs/>
        </w:rPr>
        <w:t xml:space="preserve"> use.</w:t>
      </w:r>
      <w:r>
        <w:rPr>
          <w:rFonts w:eastAsia="Calibri"/>
          <w:bCs/>
        </w:rPr>
        <w:t xml:space="preserve"> </w:t>
      </w:r>
      <w:r w:rsidRPr="008E4169">
        <w:t xml:space="preserve">We hypothesized that </w:t>
      </w:r>
      <w:r>
        <w:t xml:space="preserve">demographic factors such as race/ethnicity and insurance, birth information such as </w:t>
      </w:r>
      <w:r w:rsidRPr="008E4169">
        <w:t xml:space="preserve">gestational </w:t>
      </w:r>
      <w:r>
        <w:t>age and weight</w:t>
      </w:r>
      <w:r w:rsidRPr="008E4169">
        <w:t xml:space="preserve">, </w:t>
      </w:r>
      <w:r>
        <w:t xml:space="preserve">medical status at the time of discharge such as </w:t>
      </w:r>
      <w:r w:rsidRPr="008E4169">
        <w:t xml:space="preserve">oxygen use and </w:t>
      </w:r>
      <w:r>
        <w:t xml:space="preserve">higher </w:t>
      </w:r>
      <w:r w:rsidRPr="008E4169">
        <w:t>level</w:t>
      </w:r>
      <w:r>
        <w:t>s</w:t>
      </w:r>
      <w:r w:rsidRPr="008E4169">
        <w:t xml:space="preserve"> of daily ventilator support,</w:t>
      </w:r>
      <w:r>
        <w:t xml:space="preserve"> presence of cardiac and neurologic comorbidities, and who the primary pulmonologist was managing the patient’s outpatient care would be </w:t>
      </w:r>
      <w:r w:rsidRPr="008E4169">
        <w:t xml:space="preserve">associated with </w:t>
      </w:r>
      <w:proofErr w:type="spellStart"/>
      <w:r>
        <w:t>i</w:t>
      </w:r>
      <w:r w:rsidRPr="008E4169">
        <w:t>HMV</w:t>
      </w:r>
      <w:proofErr w:type="spellEnd"/>
      <w:r w:rsidRPr="008E4169">
        <w:t xml:space="preserve"> duration.</w:t>
      </w:r>
    </w:p>
    <w:p w14:paraId="5C32710A" w14:textId="77777777" w:rsidR="007E097D" w:rsidRDefault="007E097D" w:rsidP="002A142F">
      <w:pPr>
        <w:contextualSpacing/>
        <w:rPr>
          <w:rFonts w:eastAsia="Calibri"/>
          <w:b/>
        </w:rPr>
      </w:pPr>
    </w:p>
    <w:p w14:paraId="16277755" w14:textId="77777777" w:rsidR="007E097D" w:rsidRPr="003D6568" w:rsidRDefault="007E097D" w:rsidP="002A142F">
      <w:pPr>
        <w:contextualSpacing/>
        <w:rPr>
          <w:rFonts w:eastAsia="Calibri"/>
          <w:b/>
        </w:rPr>
      </w:pPr>
      <w:r w:rsidRPr="003D6568">
        <w:rPr>
          <w:rFonts w:eastAsia="Calibri"/>
          <w:b/>
        </w:rPr>
        <w:t>Methods</w:t>
      </w:r>
    </w:p>
    <w:p w14:paraId="0319C489" w14:textId="77777777" w:rsidR="007E097D" w:rsidRDefault="007E097D" w:rsidP="002A142F">
      <w:pPr>
        <w:contextualSpacing/>
        <w:rPr>
          <w:rFonts w:eastAsia="Calibri"/>
        </w:rPr>
      </w:pPr>
    </w:p>
    <w:p w14:paraId="0E956848" w14:textId="77777777" w:rsidR="007E097D" w:rsidRPr="003D6568" w:rsidRDefault="007E097D" w:rsidP="002A142F">
      <w:pPr>
        <w:contextualSpacing/>
        <w:rPr>
          <w:rFonts w:eastAsia="Calibri"/>
        </w:rPr>
      </w:pPr>
    </w:p>
    <w:p w14:paraId="14CE4197" w14:textId="77777777" w:rsidR="007E097D" w:rsidRPr="003D6568" w:rsidRDefault="007E097D" w:rsidP="002A142F">
      <w:pPr>
        <w:pStyle w:val="Heading2"/>
        <w:spacing w:line="240" w:lineRule="auto"/>
      </w:pPr>
      <w:r w:rsidRPr="003D6568">
        <w:t>Study Design</w:t>
      </w:r>
    </w:p>
    <w:p w14:paraId="47B70783" w14:textId="77777777" w:rsidR="007E097D" w:rsidRPr="003D6568" w:rsidRDefault="007E097D" w:rsidP="002A142F">
      <w:pPr>
        <w:contextualSpacing/>
        <w:rPr>
          <w:rFonts w:eastAsia="Calibri"/>
        </w:rPr>
      </w:pPr>
    </w:p>
    <w:p w14:paraId="53A7F545" w14:textId="77777777" w:rsidR="007E097D" w:rsidRPr="00DB2B5A" w:rsidRDefault="007E097D" w:rsidP="00DB2B5A">
      <w:pPr>
        <w:spacing w:line="480" w:lineRule="auto"/>
        <w:ind w:firstLine="720"/>
        <w:contextualSpacing/>
        <w:rPr>
          <w:rFonts w:eastAsia="Calibri"/>
        </w:rPr>
      </w:pPr>
      <w:r w:rsidRPr="003D6568">
        <w:rPr>
          <w:rFonts w:eastAsia="Calibri"/>
        </w:rPr>
        <w:t xml:space="preserve">We conducted a retrospective cohort study </w:t>
      </w:r>
      <w:r>
        <w:rPr>
          <w:rFonts w:eastAsia="Calibri"/>
        </w:rPr>
        <w:t>of</w:t>
      </w:r>
      <w:r w:rsidRPr="003D6568">
        <w:rPr>
          <w:rFonts w:eastAsia="Calibri"/>
        </w:rPr>
        <w:t xml:space="preserve"> the Lurie Children’s Hospital Pulmonary Habilitation Program registry </w:t>
      </w:r>
      <w:r>
        <w:rPr>
          <w:rFonts w:eastAsia="Calibri"/>
        </w:rPr>
        <w:t xml:space="preserve">and </w:t>
      </w:r>
      <w:r w:rsidRPr="003D6568">
        <w:rPr>
          <w:rFonts w:eastAsia="Calibri"/>
        </w:rPr>
        <w:t xml:space="preserve">electronic health records </w:t>
      </w:r>
      <w:r>
        <w:rPr>
          <w:rFonts w:eastAsia="Calibri"/>
        </w:rPr>
        <w:t>data</w:t>
      </w:r>
      <w:r w:rsidRPr="00600A75">
        <w:rPr>
          <w:rFonts w:eastAsia="Calibri"/>
        </w:rPr>
        <w:t xml:space="preserve"> </w:t>
      </w:r>
      <w:r>
        <w:rPr>
          <w:rFonts w:eastAsia="Calibri"/>
        </w:rPr>
        <w:t xml:space="preserve">that included patients admitted to the program </w:t>
      </w:r>
      <w:r w:rsidRPr="003D6568">
        <w:rPr>
          <w:rFonts w:eastAsia="Calibri"/>
        </w:rPr>
        <w:t xml:space="preserve">from </w:t>
      </w:r>
      <w:proofErr w:type="gramStart"/>
      <w:r>
        <w:rPr>
          <w:rFonts w:eastAsia="Calibri"/>
        </w:rPr>
        <w:t>November,</w:t>
      </w:r>
      <w:proofErr w:type="gramEnd"/>
      <w:r>
        <w:rPr>
          <w:rFonts w:eastAsia="Calibri"/>
        </w:rPr>
        <w:t xml:space="preserve"> 1, 2005 </w:t>
      </w:r>
      <w:r w:rsidRPr="003D6568">
        <w:rPr>
          <w:rFonts w:eastAsia="Calibri"/>
        </w:rPr>
        <w:t xml:space="preserve">through </w:t>
      </w:r>
      <w:r>
        <w:rPr>
          <w:rFonts w:eastAsia="Calibri"/>
        </w:rPr>
        <w:t xml:space="preserve">May 31, </w:t>
      </w:r>
      <w:r w:rsidRPr="003D6568">
        <w:rPr>
          <w:rFonts w:eastAsia="Calibri"/>
        </w:rPr>
        <w:t>2021</w:t>
      </w:r>
      <w:r>
        <w:rPr>
          <w:rFonts w:eastAsia="Calibri"/>
        </w:rPr>
        <w:t xml:space="preserve"> with a study endpoint on August 31, 2021</w:t>
      </w:r>
      <w:r w:rsidRPr="003D6568">
        <w:rPr>
          <w:rFonts w:eastAsia="Calibri"/>
        </w:rPr>
        <w:t>.</w:t>
      </w:r>
      <w:r>
        <w:rPr>
          <w:rFonts w:eastAsia="Calibri"/>
        </w:rPr>
        <w:t xml:space="preserve"> The Pulmonary Habilitation Program registry is composed of all children cared for at our independent children’s hospital with </w:t>
      </w:r>
      <w:proofErr w:type="spellStart"/>
      <w:r>
        <w:rPr>
          <w:rFonts w:eastAsia="Calibri"/>
        </w:rPr>
        <w:t>iHMV</w:t>
      </w:r>
      <w:proofErr w:type="spellEnd"/>
      <w:r>
        <w:rPr>
          <w:rFonts w:eastAsia="Calibri"/>
        </w:rPr>
        <w:t xml:space="preserve">. Available data elements such as patient demographics and utilization were </w:t>
      </w:r>
      <w:r w:rsidRPr="003D6568">
        <w:rPr>
          <w:rFonts w:eastAsia="Calibri"/>
          <w:bCs/>
        </w:rPr>
        <w:t>extract</w:t>
      </w:r>
      <w:r>
        <w:rPr>
          <w:rFonts w:eastAsia="Calibri"/>
          <w:bCs/>
        </w:rPr>
        <w:t>ed</w:t>
      </w:r>
      <w:r w:rsidRPr="003D6568">
        <w:rPr>
          <w:rFonts w:eastAsia="Calibri"/>
          <w:bCs/>
        </w:rPr>
        <w:t xml:space="preserve"> directly from the EHR</w:t>
      </w:r>
      <w:r>
        <w:rPr>
          <w:rFonts w:eastAsia="Calibri"/>
          <w:bCs/>
        </w:rPr>
        <w:t xml:space="preserve"> and registry. Additional chart review was conducted using</w:t>
      </w:r>
      <w:r w:rsidRPr="003D6568">
        <w:rPr>
          <w:rFonts w:eastAsia="Calibri"/>
          <w:bCs/>
        </w:rPr>
        <w:t xml:space="preserve"> Research Electronic Data Capture</w:t>
      </w:r>
      <w:r>
        <w:rPr>
          <w:rFonts w:eastAsia="Calibri"/>
          <w:bCs/>
        </w:rPr>
        <w:t xml:space="preserve"> </w:t>
      </w:r>
      <w:r w:rsidRPr="003D6568">
        <w:rPr>
          <w:rFonts w:eastAsia="Calibri"/>
          <w:bCs/>
        </w:rPr>
        <w:t>tools hosted at Northwestern University</w:t>
      </w:r>
      <w:r>
        <w:rPr>
          <w:rFonts w:eastAsia="Calibri"/>
          <w:bCs/>
        </w:rPr>
        <w:t xml:space="preserve"> to collect remaining study variables</w:t>
      </w:r>
      <w:r w:rsidRPr="003D6568">
        <w:rPr>
          <w:rFonts w:eastAsia="Calibri"/>
          <w:bCs/>
        </w:rPr>
        <w:t>.</w:t>
      </w:r>
      <w:r w:rsidRPr="000D49B6">
        <w:rPr>
          <w:rFonts w:eastAsia="Calibri"/>
          <w:bCs/>
          <w:noProof/>
          <w:vertAlign w:val="superscript"/>
        </w:rPr>
        <w:t xml:space="preserve"> 23</w:t>
      </w:r>
      <w:r w:rsidRPr="003D6568">
        <w:rPr>
          <w:rFonts w:eastAsia="Calibri"/>
          <w:bCs/>
        </w:rPr>
        <w:t xml:space="preserve"> </w:t>
      </w:r>
      <w:r>
        <w:rPr>
          <w:rFonts w:eastAsia="Calibri"/>
          <w:bCs/>
        </w:rPr>
        <w:t>To</w:t>
      </w:r>
      <w:r w:rsidRPr="003D6568">
        <w:rPr>
          <w:rFonts w:eastAsia="Calibri"/>
          <w:bCs/>
        </w:rPr>
        <w:t xml:space="preserve"> ensure a</w:t>
      </w:r>
      <w:r>
        <w:rPr>
          <w:rFonts w:eastAsia="Calibri"/>
          <w:bCs/>
        </w:rPr>
        <w:t xml:space="preserve"> reproducible</w:t>
      </w:r>
      <w:r w:rsidRPr="003D6568">
        <w:rPr>
          <w:rFonts w:eastAsia="Calibri"/>
          <w:bCs/>
        </w:rPr>
        <w:t xml:space="preserve"> </w:t>
      </w:r>
      <w:r>
        <w:rPr>
          <w:rFonts w:eastAsia="Calibri"/>
          <w:bCs/>
        </w:rPr>
        <w:t xml:space="preserve">chart review process, a </w:t>
      </w:r>
      <w:r w:rsidRPr="003D6568">
        <w:rPr>
          <w:rFonts w:eastAsia="Calibri"/>
          <w:bCs/>
        </w:rPr>
        <w:t xml:space="preserve">manual of </w:t>
      </w:r>
      <w:r>
        <w:rPr>
          <w:rFonts w:eastAsia="Calibri"/>
          <w:bCs/>
        </w:rPr>
        <w:t>operations was developed and tested among the study team’s abstractors. Double chart review and comparison was conducted to ensure consistency.</w:t>
      </w:r>
    </w:p>
    <w:p w14:paraId="6D79393F" w14:textId="77777777" w:rsidR="007E097D" w:rsidRDefault="007E097D" w:rsidP="002A142F">
      <w:pPr>
        <w:pStyle w:val="Heading2"/>
        <w:spacing w:line="240" w:lineRule="auto"/>
      </w:pPr>
    </w:p>
    <w:p w14:paraId="5E961647" w14:textId="77777777" w:rsidR="007E097D" w:rsidRPr="003D6568" w:rsidRDefault="007E097D" w:rsidP="002A142F">
      <w:pPr>
        <w:pStyle w:val="Heading2"/>
        <w:spacing w:line="240" w:lineRule="auto"/>
      </w:pPr>
      <w:r w:rsidRPr="003D6568">
        <w:t>Study Population</w:t>
      </w:r>
    </w:p>
    <w:p w14:paraId="3EE18D51" w14:textId="77777777" w:rsidR="007E097D" w:rsidRDefault="007E097D" w:rsidP="002A142F">
      <w:pPr>
        <w:spacing w:after="120"/>
        <w:contextualSpacing/>
        <w:rPr>
          <w:rFonts w:eastAsia="Calibri"/>
        </w:rPr>
      </w:pPr>
    </w:p>
    <w:p w14:paraId="6DF72900" w14:textId="77777777" w:rsidR="007E097D" w:rsidRPr="00C265CB" w:rsidRDefault="007E097D" w:rsidP="00C265CB">
      <w:pPr>
        <w:spacing w:after="120" w:line="480" w:lineRule="auto"/>
        <w:ind w:firstLine="810"/>
        <w:contextualSpacing/>
        <w:rPr>
          <w:rFonts w:eastAsia="Calibri"/>
        </w:rPr>
      </w:pPr>
      <w:r>
        <w:rPr>
          <w:rFonts w:eastAsia="Calibri"/>
        </w:rPr>
        <w:t xml:space="preserve">Inclusion criteria were patients who were initiated on </w:t>
      </w:r>
      <w:proofErr w:type="spellStart"/>
      <w:r>
        <w:rPr>
          <w:rFonts w:eastAsia="Calibri"/>
        </w:rPr>
        <w:t>iHMV</w:t>
      </w:r>
      <w:proofErr w:type="spellEnd"/>
      <w:r w:rsidRPr="003D6568">
        <w:rPr>
          <w:rFonts w:eastAsia="Calibri"/>
        </w:rPr>
        <w:t xml:space="preserve"> via tracheostomy due to CLD of prematurity </w:t>
      </w:r>
      <w:r>
        <w:rPr>
          <w:rFonts w:eastAsia="Calibri"/>
        </w:rPr>
        <w:t>during infancy following a provider-based diagnosis of</w:t>
      </w:r>
      <w:r w:rsidRPr="00EA4984">
        <w:rPr>
          <w:rFonts w:eastAsia="Calibri"/>
        </w:rPr>
        <w:t xml:space="preserve"> bronchopulmonary </w:t>
      </w:r>
      <w:r w:rsidRPr="00EA4984">
        <w:rPr>
          <w:rFonts w:eastAsia="Calibri"/>
        </w:rPr>
        <w:lastRenderedPageBreak/>
        <w:t>dysplasia</w:t>
      </w:r>
      <w:r>
        <w:rPr>
          <w:rFonts w:eastAsia="Calibri"/>
        </w:rPr>
        <w:t xml:space="preserve"> (BPD) confirmed by chart review</w:t>
      </w:r>
      <w:r w:rsidRPr="00EA4984">
        <w:rPr>
          <w:rFonts w:eastAsia="Calibri"/>
        </w:rPr>
        <w:t>.</w:t>
      </w:r>
      <w:r>
        <w:rPr>
          <w:rFonts w:eastAsia="Calibri"/>
        </w:rPr>
        <w:t xml:space="preserve"> We excluded patients that used </w:t>
      </w:r>
      <w:proofErr w:type="spellStart"/>
      <w:r>
        <w:rPr>
          <w:rFonts w:eastAsia="Calibri"/>
        </w:rPr>
        <w:t>iHMV</w:t>
      </w:r>
      <w:proofErr w:type="spellEnd"/>
      <w:r>
        <w:rPr>
          <w:rFonts w:eastAsia="Calibri"/>
        </w:rPr>
        <w:t xml:space="preserve"> for the following reasons:  neuromuscular weakness, central hypoventilation, isolated airway disease, primary cardiac disease, pulmonary hypoplasia from congenital conditions such as diaphragmatic hernia or </w:t>
      </w:r>
      <w:proofErr w:type="gramStart"/>
      <w:r>
        <w:rPr>
          <w:rFonts w:eastAsia="Calibri"/>
        </w:rPr>
        <w:t>omphalocele, and</w:t>
      </w:r>
      <w:proofErr w:type="gramEnd"/>
      <w:r>
        <w:rPr>
          <w:rFonts w:eastAsia="Calibri"/>
        </w:rPr>
        <w:t xml:space="preserve"> acquired lung disease after infancy. We also excluded patients who were initiated on </w:t>
      </w:r>
      <w:proofErr w:type="spellStart"/>
      <w:r>
        <w:rPr>
          <w:rFonts w:eastAsia="Calibri"/>
        </w:rPr>
        <w:t>iHMV</w:t>
      </w:r>
      <w:proofErr w:type="spellEnd"/>
      <w:r>
        <w:rPr>
          <w:rFonts w:eastAsia="Calibri"/>
        </w:rPr>
        <w:t xml:space="preserve"> but weaned prior to discharge home and those with unavailable chart information that would not allow determination of </w:t>
      </w:r>
      <w:proofErr w:type="spellStart"/>
      <w:r>
        <w:rPr>
          <w:rFonts w:eastAsia="Calibri"/>
        </w:rPr>
        <w:t>iHMV</w:t>
      </w:r>
      <w:proofErr w:type="spellEnd"/>
      <w:r>
        <w:rPr>
          <w:rFonts w:eastAsia="Calibri"/>
        </w:rPr>
        <w:t xml:space="preserve"> duration (</w:t>
      </w:r>
      <w:r w:rsidRPr="00A334B3">
        <w:rPr>
          <w:rFonts w:eastAsia="Calibri"/>
          <w:b/>
          <w:bCs/>
        </w:rPr>
        <w:t>Figure 1</w:t>
      </w:r>
      <w:r>
        <w:rPr>
          <w:rFonts w:eastAsia="Calibri"/>
        </w:rPr>
        <w:t>).</w:t>
      </w:r>
    </w:p>
    <w:p w14:paraId="3DECD744" w14:textId="77777777" w:rsidR="007E097D" w:rsidRDefault="007E097D" w:rsidP="00CC2893">
      <w:pPr>
        <w:contextualSpacing/>
        <w:rPr>
          <w:i/>
          <w:iCs/>
        </w:rPr>
      </w:pPr>
    </w:p>
    <w:p w14:paraId="420B25B1" w14:textId="77777777" w:rsidR="007E097D" w:rsidRDefault="007E097D" w:rsidP="00CC2893">
      <w:pPr>
        <w:contextualSpacing/>
        <w:rPr>
          <w:i/>
          <w:iCs/>
        </w:rPr>
      </w:pPr>
      <w:r>
        <w:rPr>
          <w:i/>
          <w:iCs/>
        </w:rPr>
        <w:t>Study Outcome</w:t>
      </w:r>
    </w:p>
    <w:p w14:paraId="40B1D6E9" w14:textId="77777777" w:rsidR="007E097D" w:rsidRDefault="007E097D" w:rsidP="00CC2893">
      <w:pPr>
        <w:contextualSpacing/>
        <w:rPr>
          <w:i/>
          <w:iCs/>
        </w:rPr>
      </w:pPr>
    </w:p>
    <w:p w14:paraId="018E79CC" w14:textId="77777777" w:rsidR="007E097D" w:rsidRPr="00C265CB" w:rsidRDefault="007E097D" w:rsidP="00600A75">
      <w:pPr>
        <w:spacing w:after="60" w:line="480" w:lineRule="auto"/>
        <w:ind w:firstLine="720"/>
        <w:contextualSpacing/>
        <w:rPr>
          <w:rFonts w:eastAsia="Calibri"/>
          <w:bCs/>
        </w:rPr>
      </w:pPr>
      <w:r>
        <w:rPr>
          <w:rFonts w:eastAsia="Calibri"/>
          <w:bCs/>
        </w:rPr>
        <w:t xml:space="preserve">To guide study data collection, a framework illustrating the timeline of a child born prematurely who eventually required </w:t>
      </w:r>
      <w:proofErr w:type="spellStart"/>
      <w:r>
        <w:rPr>
          <w:rFonts w:eastAsia="Calibri"/>
          <w:bCs/>
        </w:rPr>
        <w:t>iHMV</w:t>
      </w:r>
      <w:proofErr w:type="spellEnd"/>
      <w:r>
        <w:rPr>
          <w:rFonts w:eastAsia="Calibri"/>
          <w:bCs/>
        </w:rPr>
        <w:t xml:space="preserve">, representing key timepoints </w:t>
      </w:r>
      <w:r w:rsidRPr="00923969">
        <w:rPr>
          <w:rFonts w:eastAsia="Calibri"/>
          <w:bCs/>
        </w:rPr>
        <w:t xml:space="preserve">from birth through </w:t>
      </w:r>
      <w:r>
        <w:rPr>
          <w:rFonts w:eastAsia="Calibri"/>
          <w:bCs/>
        </w:rPr>
        <w:t xml:space="preserve">tracheostomy tube </w:t>
      </w:r>
      <w:r w:rsidRPr="00923969">
        <w:rPr>
          <w:rFonts w:eastAsia="Calibri"/>
          <w:bCs/>
        </w:rPr>
        <w:t>decannulation</w:t>
      </w:r>
      <w:r>
        <w:rPr>
          <w:rFonts w:eastAsia="Calibri"/>
          <w:bCs/>
        </w:rPr>
        <w:t xml:space="preserve"> was created (</w:t>
      </w:r>
      <w:r>
        <w:rPr>
          <w:rFonts w:eastAsia="Calibri"/>
          <w:b/>
        </w:rPr>
        <w:t xml:space="preserve">Appendix A). </w:t>
      </w:r>
      <w:r w:rsidRPr="00C265CB">
        <w:t xml:space="preserve">The </w:t>
      </w:r>
      <w:r>
        <w:rPr>
          <w:rFonts w:eastAsia="Calibri"/>
          <w:bCs/>
        </w:rPr>
        <w:t xml:space="preserve">study primary outcome was </w:t>
      </w:r>
      <w:r w:rsidRPr="004022F9">
        <w:rPr>
          <w:i/>
        </w:rPr>
        <w:t>the duration of</w:t>
      </w:r>
      <w:r>
        <w:rPr>
          <w:rFonts w:eastAsia="Calibri"/>
          <w:bCs/>
          <w:i/>
          <w:iCs/>
        </w:rPr>
        <w:t xml:space="preserve"> </w:t>
      </w:r>
      <w:proofErr w:type="spellStart"/>
      <w:r>
        <w:rPr>
          <w:i/>
        </w:rPr>
        <w:t>iHMV</w:t>
      </w:r>
      <w:proofErr w:type="spellEnd"/>
      <w:r w:rsidRPr="004022F9">
        <w:rPr>
          <w:i/>
        </w:rPr>
        <w:t xml:space="preserve"> use</w:t>
      </w:r>
      <w:r w:rsidRPr="00AA1C82">
        <w:rPr>
          <w:rFonts w:eastAsia="Calibri"/>
          <w:bCs/>
        </w:rPr>
        <w:t xml:space="preserve"> </w:t>
      </w:r>
      <w:r>
        <w:rPr>
          <w:rFonts w:eastAsia="Calibri"/>
          <w:bCs/>
        </w:rPr>
        <w:t>defined as the period in months between the d</w:t>
      </w:r>
      <w:r w:rsidRPr="003D6568">
        <w:rPr>
          <w:rFonts w:eastAsia="Calibri"/>
          <w:bCs/>
        </w:rPr>
        <w:t xml:space="preserve">ate of discharge from the </w:t>
      </w:r>
      <w:r>
        <w:rPr>
          <w:rFonts w:eastAsia="Calibri"/>
          <w:bCs/>
        </w:rPr>
        <w:t xml:space="preserve">first (index) </w:t>
      </w:r>
      <w:r w:rsidRPr="003D6568">
        <w:rPr>
          <w:rFonts w:eastAsia="Calibri"/>
          <w:bCs/>
        </w:rPr>
        <w:t>hospitalization</w:t>
      </w:r>
      <w:r>
        <w:rPr>
          <w:rFonts w:eastAsia="Calibri"/>
          <w:bCs/>
        </w:rPr>
        <w:t xml:space="preserve"> </w:t>
      </w:r>
      <w:proofErr w:type="gramStart"/>
      <w:r>
        <w:rPr>
          <w:rFonts w:eastAsia="Calibri"/>
          <w:bCs/>
        </w:rPr>
        <w:t xml:space="preserve">with  </w:t>
      </w:r>
      <w:proofErr w:type="spellStart"/>
      <w:r>
        <w:rPr>
          <w:rFonts w:eastAsia="Calibri"/>
          <w:bCs/>
        </w:rPr>
        <w:t>iHMV</w:t>
      </w:r>
      <w:proofErr w:type="spellEnd"/>
      <w:proofErr w:type="gramEnd"/>
      <w:r>
        <w:rPr>
          <w:rFonts w:eastAsia="Calibri"/>
          <w:bCs/>
        </w:rPr>
        <w:t xml:space="preserve"> and the date of d</w:t>
      </w:r>
      <w:r w:rsidRPr="003D6568">
        <w:rPr>
          <w:rFonts w:eastAsia="Calibri"/>
          <w:bCs/>
        </w:rPr>
        <w:t>iscontinuation of positive pressure ventilation both during the day and night</w:t>
      </w:r>
      <w:r>
        <w:rPr>
          <w:rFonts w:eastAsia="Calibri"/>
          <w:bCs/>
        </w:rPr>
        <w:t xml:space="preserve">, including illness. </w:t>
      </w:r>
      <w:r w:rsidRPr="003D6568">
        <w:rPr>
          <w:rFonts w:eastAsia="Calibri"/>
          <w:bCs/>
        </w:rPr>
        <w:t>If a child was transferred from an outside hospital</w:t>
      </w:r>
      <w:r>
        <w:rPr>
          <w:rFonts w:eastAsia="Calibri"/>
          <w:bCs/>
        </w:rPr>
        <w:t xml:space="preserve"> prior to being sent home</w:t>
      </w:r>
      <w:r w:rsidRPr="003D6568">
        <w:rPr>
          <w:rFonts w:eastAsia="Calibri"/>
          <w:bCs/>
        </w:rPr>
        <w:t xml:space="preserve">, the hospitalization where tracheostomy placement and </w:t>
      </w:r>
      <w:proofErr w:type="spellStart"/>
      <w:r>
        <w:rPr>
          <w:rFonts w:eastAsia="Calibri"/>
          <w:bCs/>
        </w:rPr>
        <w:t>iHMV</w:t>
      </w:r>
      <w:proofErr w:type="spellEnd"/>
      <w:r w:rsidRPr="003D6568">
        <w:rPr>
          <w:rFonts w:eastAsia="Calibri"/>
          <w:bCs/>
        </w:rPr>
        <w:t xml:space="preserve"> training occurred was considered the index hospitalization</w:t>
      </w:r>
      <w:r>
        <w:rPr>
          <w:rFonts w:eastAsia="Calibri"/>
          <w:bCs/>
        </w:rPr>
        <w:t xml:space="preserve">. Patients in the study cohort were categorized as: 1) weaned off </w:t>
      </w:r>
      <w:proofErr w:type="spellStart"/>
      <w:r>
        <w:rPr>
          <w:rFonts w:eastAsia="Calibri"/>
          <w:bCs/>
        </w:rPr>
        <w:t>iHMV</w:t>
      </w:r>
      <w:proofErr w:type="spellEnd"/>
      <w:r>
        <w:rPr>
          <w:rFonts w:eastAsia="Calibri"/>
          <w:bCs/>
        </w:rPr>
        <w:t xml:space="preserve"> at study end, 2) still on the ventilator receiving </w:t>
      </w:r>
      <w:proofErr w:type="spellStart"/>
      <w:r>
        <w:rPr>
          <w:rFonts w:eastAsia="Calibri"/>
          <w:bCs/>
        </w:rPr>
        <w:t>iHMV</w:t>
      </w:r>
      <w:proofErr w:type="spellEnd"/>
      <w:r>
        <w:rPr>
          <w:rFonts w:eastAsia="Calibri"/>
          <w:bCs/>
        </w:rPr>
        <w:t xml:space="preserve"> at study end, 3) lost to follow-up, or 4) deceased. </w:t>
      </w:r>
    </w:p>
    <w:p w14:paraId="51E32FB8" w14:textId="77777777" w:rsidR="007E097D" w:rsidRDefault="007E097D" w:rsidP="00CC2893">
      <w:pPr>
        <w:contextualSpacing/>
        <w:rPr>
          <w:i/>
          <w:iCs/>
        </w:rPr>
      </w:pPr>
    </w:p>
    <w:p w14:paraId="13AA90EC" w14:textId="77777777" w:rsidR="007E097D" w:rsidRDefault="007E097D" w:rsidP="007B58A6">
      <w:pPr>
        <w:contextualSpacing/>
        <w:rPr>
          <w:i/>
          <w:iCs/>
        </w:rPr>
      </w:pPr>
      <w:r>
        <w:rPr>
          <w:i/>
          <w:iCs/>
        </w:rPr>
        <w:t>Predictor Variables of Interest</w:t>
      </w:r>
    </w:p>
    <w:p w14:paraId="11865BF8" w14:textId="77777777" w:rsidR="007E097D" w:rsidRDefault="007E097D" w:rsidP="007B58A6">
      <w:pPr>
        <w:contextualSpacing/>
        <w:rPr>
          <w:i/>
          <w:iCs/>
        </w:rPr>
      </w:pPr>
    </w:p>
    <w:p w14:paraId="6A82EF57" w14:textId="77777777" w:rsidR="007E097D" w:rsidRPr="006B12F1" w:rsidRDefault="007E097D" w:rsidP="00A36F7A">
      <w:pPr>
        <w:spacing w:line="480" w:lineRule="auto"/>
        <w:ind w:firstLine="720"/>
        <w:contextualSpacing/>
        <w:rPr>
          <w:rFonts w:eastAsia="Calibri"/>
          <w:bCs/>
        </w:rPr>
      </w:pPr>
      <w:r>
        <w:rPr>
          <w:rFonts w:eastAsia="Calibri"/>
          <w:bCs/>
        </w:rPr>
        <w:t>Demographic f</w:t>
      </w:r>
      <w:r w:rsidRPr="002D6D43">
        <w:rPr>
          <w:rFonts w:eastAsia="Calibri"/>
          <w:bCs/>
        </w:rPr>
        <w:t xml:space="preserve">actors examined included </w:t>
      </w:r>
      <w:r>
        <w:rPr>
          <w:rFonts w:eastAsia="Calibri"/>
          <w:bCs/>
        </w:rPr>
        <w:t xml:space="preserve">biological </w:t>
      </w:r>
      <w:r w:rsidRPr="002D6D43">
        <w:rPr>
          <w:rFonts w:eastAsia="Calibri"/>
          <w:bCs/>
        </w:rPr>
        <w:t xml:space="preserve">sex, race/ethnicity (Asian, </w:t>
      </w:r>
      <w:r>
        <w:rPr>
          <w:rFonts w:eastAsia="Calibri"/>
          <w:bCs/>
        </w:rPr>
        <w:t>n</w:t>
      </w:r>
      <w:r w:rsidRPr="002D6D43">
        <w:rPr>
          <w:rFonts w:eastAsia="Calibri"/>
          <w:bCs/>
        </w:rPr>
        <w:t xml:space="preserve">on-Hispanic Black, Hispanic, </w:t>
      </w:r>
      <w:r>
        <w:rPr>
          <w:rFonts w:eastAsia="Calibri"/>
          <w:bCs/>
        </w:rPr>
        <w:t>n</w:t>
      </w:r>
      <w:r w:rsidRPr="002D6D43">
        <w:rPr>
          <w:rFonts w:eastAsia="Calibri"/>
          <w:bCs/>
        </w:rPr>
        <w:t>on-Hispanic White, other</w:t>
      </w:r>
      <w:r>
        <w:rPr>
          <w:rFonts w:eastAsia="Calibri"/>
          <w:bCs/>
        </w:rPr>
        <w:t>/unknown</w:t>
      </w:r>
      <w:r w:rsidRPr="002D6D43">
        <w:rPr>
          <w:rFonts w:eastAsia="Calibri"/>
          <w:bCs/>
        </w:rPr>
        <w:t xml:space="preserve">), </w:t>
      </w:r>
      <w:r>
        <w:rPr>
          <w:rFonts w:eastAsia="Calibri"/>
          <w:bCs/>
        </w:rPr>
        <w:t xml:space="preserve">and </w:t>
      </w:r>
      <w:r w:rsidRPr="002D6D43">
        <w:rPr>
          <w:rFonts w:eastAsia="Calibri"/>
          <w:bCs/>
        </w:rPr>
        <w:t>insurance</w:t>
      </w:r>
      <w:r>
        <w:rPr>
          <w:rFonts w:eastAsia="Calibri"/>
          <w:bCs/>
        </w:rPr>
        <w:t xml:space="preserve"> type (any public, private only, other/unknown).</w:t>
      </w:r>
      <w:r w:rsidRPr="000D49B6">
        <w:rPr>
          <w:rFonts w:eastAsia="Calibri"/>
          <w:bCs/>
          <w:noProof/>
          <w:vertAlign w:val="superscript"/>
        </w:rPr>
        <w:t xml:space="preserve"> 24</w:t>
      </w:r>
      <w:r>
        <w:rPr>
          <w:rFonts w:eastAsia="Calibri"/>
          <w:bCs/>
        </w:rPr>
        <w:t xml:space="preserve"> While examined race/ethnicity as they have been shown to be socially construct variables that are linked to disparities in access that stem from structural </w:t>
      </w:r>
      <w:r>
        <w:rPr>
          <w:rFonts w:eastAsia="Calibri"/>
          <w:bCs/>
        </w:rPr>
        <w:lastRenderedPageBreak/>
        <w:t xml:space="preserve">barriers and bias. Gestational age in weeks and gestational weight were examined as possible indicators for severity of CLD of prematurity. To capture information reflective of pulmonary health at the start of </w:t>
      </w:r>
      <w:proofErr w:type="spellStart"/>
      <w:r>
        <w:rPr>
          <w:rFonts w:eastAsia="Calibri"/>
          <w:bCs/>
        </w:rPr>
        <w:t>iHMV</w:t>
      </w:r>
      <w:proofErr w:type="spellEnd"/>
      <w:r>
        <w:rPr>
          <w:rFonts w:eastAsia="Calibri"/>
          <w:bCs/>
        </w:rPr>
        <w:t xml:space="preserve">, we included a length-for age Z score based on the U.S. </w:t>
      </w:r>
      <w:r>
        <w:t>Centers for Disease Control</w:t>
      </w:r>
      <w:r>
        <w:rPr>
          <w:rFonts w:eastAsia="Calibri"/>
          <w:bCs/>
        </w:rPr>
        <w:t xml:space="preserve"> growth chart as reflection of chest size, presence of pulmonary hypertension (yes/no), oxygen use (yes/no), hours of ventilator support, and level of daily ventilatory support. A novel variable was created to capture the </w:t>
      </w:r>
      <w:r w:rsidRPr="000E6092">
        <w:rPr>
          <w:rFonts w:eastAsia="Calibri"/>
          <w:bCs/>
        </w:rPr>
        <w:t>level of daily ventilator support</w:t>
      </w:r>
      <w:r w:rsidRPr="000E6092">
        <w:rPr>
          <w:rFonts w:eastAsia="Calibri"/>
          <w:bCs/>
          <w:i/>
          <w:iCs/>
        </w:rPr>
        <w:t xml:space="preserve"> </w:t>
      </w:r>
      <w:r w:rsidRPr="000E6092">
        <w:rPr>
          <w:rFonts w:eastAsia="Calibri"/>
          <w:bCs/>
        </w:rPr>
        <w:t>at discharge</w:t>
      </w:r>
      <w:r w:rsidRPr="002D6D43">
        <w:rPr>
          <w:rFonts w:eastAsia="Calibri"/>
          <w:bCs/>
        </w:rPr>
        <w:t xml:space="preserve"> to </w:t>
      </w:r>
      <w:proofErr w:type="spellStart"/>
      <w:r>
        <w:rPr>
          <w:rFonts w:eastAsia="Calibri"/>
          <w:bCs/>
        </w:rPr>
        <w:t>iHMV</w:t>
      </w:r>
      <w:proofErr w:type="spellEnd"/>
      <w:r>
        <w:rPr>
          <w:rFonts w:eastAsia="Calibri"/>
          <w:bCs/>
        </w:rPr>
        <w:t xml:space="preserve">, </w:t>
      </w:r>
      <w:r w:rsidRPr="002D6D43">
        <w:rPr>
          <w:rFonts w:eastAsia="Calibri"/>
          <w:bCs/>
        </w:rPr>
        <w:t xml:space="preserve">calculated as </w:t>
      </w:r>
      <w:r w:rsidRPr="002D6D43">
        <w:rPr>
          <w:rFonts w:eastAsia="Calibri"/>
          <w:bCs/>
          <w:i/>
          <w:iCs/>
        </w:rPr>
        <w:t>minute ventilation per kg per day</w:t>
      </w:r>
      <w:r w:rsidRPr="002D6D43">
        <w:rPr>
          <w:rFonts w:eastAsia="Calibri"/>
          <w:bCs/>
        </w:rPr>
        <w:t xml:space="preserve"> by multiplying the mean tidal delivered volume at discharge (</w:t>
      </w:r>
      <w:r>
        <w:rPr>
          <w:rFonts w:eastAsia="Calibri"/>
          <w:bCs/>
        </w:rPr>
        <w:t>liters</w:t>
      </w:r>
      <w:r w:rsidRPr="002D6D43">
        <w:rPr>
          <w:rFonts w:eastAsia="Calibri"/>
          <w:bCs/>
        </w:rPr>
        <w:t xml:space="preserve"> per kilogram) by the set breaths per minute by 60 minutes per hour by the hours per day the child was set to use the ventilator.</w:t>
      </w:r>
      <w:r>
        <w:rPr>
          <w:rFonts w:eastAsia="Calibri"/>
          <w:bCs/>
        </w:rPr>
        <w:t xml:space="preserve"> </w:t>
      </w:r>
      <w:r w:rsidRPr="00987891">
        <w:rPr>
          <w:rFonts w:eastAsia="Calibri"/>
          <w:bCs/>
        </w:rPr>
        <w:t>This variable was created to account for differences in ventilator mode, intensity of support, and duration during the day in one variable that could be used consistently for all children in the cohort</w:t>
      </w:r>
      <w:r>
        <w:rPr>
          <w:rFonts w:eastAsia="Calibri"/>
          <w:bCs/>
        </w:rPr>
        <w:t>.</w:t>
      </w:r>
    </w:p>
    <w:p w14:paraId="3C24C9ED" w14:textId="77777777" w:rsidR="007E097D" w:rsidRDefault="007E097D" w:rsidP="005C3620">
      <w:pPr>
        <w:spacing w:after="60" w:line="480" w:lineRule="auto"/>
        <w:ind w:firstLine="720"/>
        <w:contextualSpacing/>
        <w:rPr>
          <w:rFonts w:eastAsia="Calibri"/>
          <w:bCs/>
        </w:rPr>
      </w:pPr>
      <w:r>
        <w:rPr>
          <w:rFonts w:eastAsia="Calibri"/>
          <w:bCs/>
        </w:rPr>
        <w:t xml:space="preserve">Age at discharge from initial hospitalization was included, and we considered that </w:t>
      </w:r>
      <w:proofErr w:type="spellStart"/>
      <w:r>
        <w:rPr>
          <w:rFonts w:eastAsia="Calibri"/>
          <w:bCs/>
        </w:rPr>
        <w:t>iHMV</w:t>
      </w:r>
      <w:proofErr w:type="spellEnd"/>
      <w:r>
        <w:rPr>
          <w:rFonts w:eastAsia="Calibri"/>
          <w:bCs/>
        </w:rPr>
        <w:t xml:space="preserve"> duration at home may be artificially foreshortened due to non-medical reasons such as a home nursing shortage.</w:t>
      </w:r>
      <w:r w:rsidRPr="000D49B6">
        <w:rPr>
          <w:rFonts w:eastAsia="Calibri"/>
          <w:bCs/>
          <w:noProof/>
          <w:vertAlign w:val="superscript"/>
        </w:rPr>
        <w:t xml:space="preserve"> </w:t>
      </w:r>
      <w:proofErr w:type="gramStart"/>
      <w:r w:rsidRPr="000D49B6">
        <w:rPr>
          <w:rFonts w:eastAsia="Calibri"/>
          <w:bCs/>
          <w:noProof/>
          <w:vertAlign w:val="superscript"/>
        </w:rPr>
        <w:t>25</w:t>
      </w:r>
      <w:r>
        <w:rPr>
          <w:rFonts w:eastAsia="Calibri"/>
          <w:bCs/>
        </w:rPr>
        <w:t xml:space="preserve">  To</w:t>
      </w:r>
      <w:proofErr w:type="gramEnd"/>
      <w:r>
        <w:rPr>
          <w:rFonts w:eastAsia="Calibri"/>
          <w:bCs/>
        </w:rPr>
        <w:t xml:space="preserve"> address this possibility, we created 2 additional variables: </w:t>
      </w:r>
      <w:r w:rsidRPr="00B004C3">
        <w:rPr>
          <w:rFonts w:eastAsia="Calibri"/>
          <w:bCs/>
          <w:i/>
          <w:iCs/>
        </w:rPr>
        <w:t xml:space="preserve">corrected </w:t>
      </w:r>
      <w:r>
        <w:rPr>
          <w:rFonts w:eastAsia="Calibri"/>
          <w:bCs/>
          <w:i/>
          <w:iCs/>
        </w:rPr>
        <w:t xml:space="preserve">gestational </w:t>
      </w:r>
      <w:r w:rsidRPr="00B004C3">
        <w:rPr>
          <w:rFonts w:eastAsia="Calibri"/>
          <w:bCs/>
          <w:i/>
          <w:iCs/>
        </w:rPr>
        <w:t xml:space="preserve">age </w:t>
      </w:r>
      <w:r>
        <w:rPr>
          <w:rFonts w:eastAsia="Calibri"/>
          <w:bCs/>
        </w:rPr>
        <w:t>in weeks defined as the c</w:t>
      </w:r>
      <w:r w:rsidRPr="00B004C3">
        <w:rPr>
          <w:rFonts w:eastAsia="Calibri"/>
          <w:bCs/>
        </w:rPr>
        <w:t>hronological age in weeks at discharge minus birth in weeks</w:t>
      </w:r>
      <w:r>
        <w:rPr>
          <w:rFonts w:eastAsia="Calibri"/>
          <w:bCs/>
        </w:rPr>
        <w:t xml:space="preserve"> and the </w:t>
      </w:r>
      <w:r w:rsidRPr="00D9132B">
        <w:rPr>
          <w:rFonts w:eastAsia="Calibri"/>
          <w:bCs/>
          <w:i/>
          <w:iCs/>
        </w:rPr>
        <w:t>corrected</w:t>
      </w:r>
      <w:r w:rsidRPr="00D9132B">
        <w:rPr>
          <w:rFonts w:eastAsia="Calibri"/>
          <w:bCs/>
        </w:rPr>
        <w:t xml:space="preserve"> </w:t>
      </w:r>
      <w:r w:rsidRPr="00D9132B">
        <w:rPr>
          <w:rFonts w:eastAsia="Calibri"/>
          <w:bCs/>
          <w:i/>
          <w:iCs/>
        </w:rPr>
        <w:t xml:space="preserve">tracheostomy age </w:t>
      </w:r>
      <w:r w:rsidRPr="00B004C3">
        <w:rPr>
          <w:rFonts w:eastAsia="Calibri"/>
          <w:bCs/>
        </w:rPr>
        <w:t>in weeks,</w:t>
      </w:r>
      <w:r>
        <w:rPr>
          <w:rFonts w:eastAsia="Calibri"/>
          <w:bCs/>
        </w:rPr>
        <w:t xml:space="preserve"> defined as the c</w:t>
      </w:r>
      <w:r w:rsidRPr="00D9132B">
        <w:rPr>
          <w:rFonts w:eastAsia="Calibri"/>
          <w:bCs/>
        </w:rPr>
        <w:t xml:space="preserve">hronological age in weeks at discharge </w:t>
      </w:r>
      <w:r>
        <w:rPr>
          <w:rFonts w:eastAsia="Calibri"/>
          <w:bCs/>
        </w:rPr>
        <w:t xml:space="preserve">minus </w:t>
      </w:r>
      <w:r w:rsidRPr="00D9132B">
        <w:rPr>
          <w:rFonts w:eastAsia="Calibri"/>
          <w:bCs/>
        </w:rPr>
        <w:t xml:space="preserve">age </w:t>
      </w:r>
      <w:r>
        <w:rPr>
          <w:rFonts w:eastAsia="Calibri"/>
          <w:bCs/>
        </w:rPr>
        <w:t xml:space="preserve">at tracheotomy. While we considered examining time from tracheostomy placement to end of </w:t>
      </w:r>
      <w:proofErr w:type="spellStart"/>
      <w:r>
        <w:rPr>
          <w:rFonts w:eastAsia="Calibri"/>
          <w:bCs/>
        </w:rPr>
        <w:t>iHMV</w:t>
      </w:r>
      <w:proofErr w:type="spellEnd"/>
      <w:r>
        <w:rPr>
          <w:rFonts w:eastAsia="Calibri"/>
          <w:bCs/>
        </w:rPr>
        <w:t xml:space="preserve"> use, b</w:t>
      </w:r>
      <w:r w:rsidRPr="00463462">
        <w:rPr>
          <w:rFonts w:eastAsia="Calibri"/>
          <w:bCs/>
        </w:rPr>
        <w:t xml:space="preserve">y creating the CTA variable, </w:t>
      </w:r>
      <w:r>
        <w:rPr>
          <w:rFonts w:eastAsia="Calibri"/>
          <w:bCs/>
        </w:rPr>
        <w:t xml:space="preserve">we established a new </w:t>
      </w:r>
      <w:r w:rsidRPr="00463462">
        <w:rPr>
          <w:rFonts w:eastAsia="Calibri"/>
          <w:bCs/>
        </w:rPr>
        <w:t>construct where continue</w:t>
      </w:r>
      <w:r>
        <w:rPr>
          <w:rFonts w:eastAsia="Calibri"/>
          <w:bCs/>
        </w:rPr>
        <w:t>d</w:t>
      </w:r>
      <w:r w:rsidRPr="00463462">
        <w:rPr>
          <w:rFonts w:eastAsia="Calibri"/>
          <w:bCs/>
        </w:rPr>
        <w:t xml:space="preserve"> non-medical stay </w:t>
      </w:r>
      <w:r>
        <w:rPr>
          <w:rFonts w:eastAsia="Calibri"/>
          <w:bCs/>
        </w:rPr>
        <w:t>could be</w:t>
      </w:r>
      <w:r w:rsidRPr="00463462">
        <w:rPr>
          <w:rFonts w:eastAsia="Calibri"/>
          <w:bCs/>
        </w:rPr>
        <w:t xml:space="preserve"> treated as a confounder rather than adding into the outcome measure</w:t>
      </w:r>
      <w:r>
        <w:rPr>
          <w:rFonts w:eastAsia="Calibri"/>
          <w:bCs/>
        </w:rPr>
        <w:t xml:space="preserve">. This approached allowed us to duration of </w:t>
      </w:r>
      <w:proofErr w:type="spellStart"/>
      <w:r>
        <w:rPr>
          <w:rFonts w:eastAsia="Calibri"/>
          <w:bCs/>
        </w:rPr>
        <w:t>iHMV</w:t>
      </w:r>
      <w:proofErr w:type="spellEnd"/>
      <w:r>
        <w:rPr>
          <w:rFonts w:eastAsia="Calibri"/>
          <w:bCs/>
        </w:rPr>
        <w:t xml:space="preserve"> care at home more specifically</w:t>
      </w:r>
      <w:r w:rsidRPr="00463462">
        <w:rPr>
          <w:rFonts w:eastAsia="Calibri"/>
          <w:bCs/>
        </w:rPr>
        <w:t>.</w:t>
      </w:r>
    </w:p>
    <w:p w14:paraId="6A636375" w14:textId="77777777" w:rsidR="007E097D" w:rsidRDefault="007E097D" w:rsidP="006B12F1">
      <w:pPr>
        <w:spacing w:after="60" w:line="480" w:lineRule="auto"/>
        <w:ind w:firstLine="720"/>
        <w:contextualSpacing/>
        <w:rPr>
          <w:rFonts w:eastAsia="Calibri"/>
          <w:bCs/>
        </w:rPr>
      </w:pPr>
      <w:r>
        <w:rPr>
          <w:rFonts w:eastAsia="Calibri"/>
          <w:bCs/>
        </w:rPr>
        <w:t xml:space="preserve">We additionally included a variable for the primary pulmonologist who managed a child’s outpatient care to account for individual practice variation that may impact ventilator </w:t>
      </w:r>
      <w:r>
        <w:rPr>
          <w:rFonts w:eastAsia="Calibri"/>
          <w:bCs/>
        </w:rPr>
        <w:lastRenderedPageBreak/>
        <w:t>support decision-making. Two physicians (</w:t>
      </w:r>
      <w:r w:rsidRPr="00F715EA">
        <w:rPr>
          <w:rFonts w:eastAsia="Calibri"/>
          <w:bCs/>
        </w:rPr>
        <w:t>Pulmonologist A</w:t>
      </w:r>
      <w:r>
        <w:rPr>
          <w:rFonts w:eastAsia="Calibri"/>
          <w:bCs/>
        </w:rPr>
        <w:t xml:space="preserve"> and</w:t>
      </w:r>
      <w:r w:rsidRPr="00F715EA">
        <w:rPr>
          <w:rFonts w:eastAsia="Calibri"/>
          <w:bCs/>
        </w:rPr>
        <w:t xml:space="preserve"> Pulmonologist B</w:t>
      </w:r>
      <w:r>
        <w:rPr>
          <w:rFonts w:eastAsia="Calibri"/>
          <w:bCs/>
        </w:rPr>
        <w:t xml:space="preserve">) took care of &gt;80% of the cohort with the remaining </w:t>
      </w:r>
      <w:r w:rsidRPr="00F715EA">
        <w:rPr>
          <w:rFonts w:eastAsia="Calibri"/>
          <w:bCs/>
        </w:rPr>
        <w:t xml:space="preserve">physicians </w:t>
      </w:r>
      <w:r>
        <w:rPr>
          <w:rFonts w:eastAsia="Calibri"/>
          <w:bCs/>
        </w:rPr>
        <w:t>taking</w:t>
      </w:r>
      <w:r w:rsidRPr="00F715EA">
        <w:rPr>
          <w:rFonts w:eastAsia="Calibri"/>
          <w:bCs/>
        </w:rPr>
        <w:t xml:space="preserve"> care of only 5 or fewer patients</w:t>
      </w:r>
      <w:r>
        <w:rPr>
          <w:rFonts w:eastAsia="Calibri"/>
          <w:bCs/>
        </w:rPr>
        <w:t>. The remaining physicians were labeled together as a “</w:t>
      </w:r>
      <w:r w:rsidRPr="00F715EA">
        <w:rPr>
          <w:rFonts w:eastAsia="Calibri"/>
          <w:bCs/>
        </w:rPr>
        <w:t>Pulmonologist</w:t>
      </w:r>
      <w:r>
        <w:rPr>
          <w:rFonts w:eastAsia="Calibri"/>
          <w:bCs/>
        </w:rPr>
        <w:t xml:space="preserve"> Group”</w:t>
      </w:r>
      <w:r w:rsidRPr="00F715EA">
        <w:rPr>
          <w:rFonts w:eastAsia="Calibri"/>
          <w:bCs/>
        </w:rPr>
        <w:t>.</w:t>
      </w:r>
    </w:p>
    <w:p w14:paraId="01EB81F5" w14:textId="77777777" w:rsidR="007E097D" w:rsidRDefault="007E097D" w:rsidP="00463462">
      <w:pPr>
        <w:spacing w:after="60" w:line="480" w:lineRule="auto"/>
        <w:ind w:firstLine="720"/>
        <w:contextualSpacing/>
        <w:rPr>
          <w:rFonts w:eastAsia="Calibri"/>
          <w:bCs/>
        </w:rPr>
      </w:pPr>
      <w:r>
        <w:rPr>
          <w:rFonts w:eastAsia="Calibri"/>
          <w:bCs/>
        </w:rPr>
        <w:t xml:space="preserve">Lastly, to account for non-pulmonary co-morbidities that may impact duration of </w:t>
      </w:r>
      <w:proofErr w:type="spellStart"/>
      <w:r>
        <w:rPr>
          <w:rFonts w:eastAsia="Calibri"/>
          <w:bCs/>
        </w:rPr>
        <w:t>iHMV</w:t>
      </w:r>
      <w:proofErr w:type="spellEnd"/>
      <w:r>
        <w:rPr>
          <w:rFonts w:eastAsia="Calibri"/>
          <w:bCs/>
        </w:rPr>
        <w:t xml:space="preserve">, we </w:t>
      </w:r>
      <w:r>
        <w:rPr>
          <w:iCs/>
        </w:rPr>
        <w:t xml:space="preserve">used previously validated classifications of </w:t>
      </w:r>
      <w:r>
        <w:rPr>
          <w:rFonts w:eastAsia="Calibri"/>
          <w:bCs/>
        </w:rPr>
        <w:t>neurologic and cardiac co-morbidities. First, we identified if patients had a high-intensive neurologic i</w:t>
      </w:r>
      <w:r>
        <w:rPr>
          <w:iCs/>
        </w:rPr>
        <w:t xml:space="preserve">mpairment, defined as </w:t>
      </w:r>
      <w:r w:rsidRPr="00DE25C4">
        <w:rPr>
          <w:iCs/>
        </w:rPr>
        <w:t>a</w:t>
      </w:r>
      <w:r>
        <w:rPr>
          <w:iCs/>
        </w:rPr>
        <w:t xml:space="preserve"> </w:t>
      </w:r>
      <w:r w:rsidRPr="00DE25C4">
        <w:rPr>
          <w:iCs/>
        </w:rPr>
        <w:t>neurological diagno</w:t>
      </w:r>
      <w:r>
        <w:rPr>
          <w:iCs/>
        </w:rPr>
        <w:t>sis</w:t>
      </w:r>
      <w:r w:rsidRPr="00DE25C4">
        <w:rPr>
          <w:iCs/>
        </w:rPr>
        <w:t xml:space="preserve"> expected to last 12 months or longer and result in significant functional impairments requiring subspecialty medical </w:t>
      </w:r>
      <w:r w:rsidRPr="001248A8">
        <w:rPr>
          <w:iCs/>
        </w:rPr>
        <w:t>care.</w:t>
      </w:r>
      <w:r w:rsidRPr="000D49B6">
        <w:rPr>
          <w:iCs/>
          <w:noProof/>
          <w:vertAlign w:val="superscript"/>
        </w:rPr>
        <w:t xml:space="preserve"> 26,27</w:t>
      </w:r>
      <w:r>
        <w:rPr>
          <w:iCs/>
        </w:rPr>
        <w:t xml:space="preserve"> We also identified the </w:t>
      </w:r>
      <w:r>
        <w:t xml:space="preserve">presence of a critical congenital heart condition, defined by the American Academy of Pediatrics, American Heart Association, and Centers for Disease Control as specified heart conditions requiring surgery in the first year of life (e.g., </w:t>
      </w:r>
      <w:r w:rsidRPr="004F32EA">
        <w:t>hypoplastic left heart syndrome, pulmonary atresia, tetralogy of Fallot, transposition of the great arteries</w:t>
      </w:r>
      <w:r>
        <w:t>).</w:t>
      </w:r>
      <w:r w:rsidRPr="000D49B6">
        <w:rPr>
          <w:noProof/>
          <w:vertAlign w:val="superscript"/>
        </w:rPr>
        <w:t xml:space="preserve"> 28,29</w:t>
      </w:r>
      <w:r>
        <w:t xml:space="preserve"> </w:t>
      </w:r>
    </w:p>
    <w:p w14:paraId="42E5508C" w14:textId="77777777" w:rsidR="007E097D" w:rsidRPr="00463462" w:rsidRDefault="007E097D" w:rsidP="00463462">
      <w:pPr>
        <w:spacing w:after="60" w:line="480" w:lineRule="auto"/>
        <w:ind w:firstLine="720"/>
        <w:contextualSpacing/>
        <w:rPr>
          <w:rFonts w:eastAsia="Calibri"/>
          <w:bCs/>
        </w:rPr>
      </w:pPr>
    </w:p>
    <w:p w14:paraId="724FDBB5" w14:textId="77777777" w:rsidR="007E097D" w:rsidRPr="003E6EEF" w:rsidRDefault="007E097D" w:rsidP="003E6EEF">
      <w:pPr>
        <w:spacing w:line="480" w:lineRule="auto"/>
        <w:rPr>
          <w:i/>
          <w:iCs/>
        </w:rPr>
      </w:pPr>
      <w:r w:rsidRPr="003E6EEF">
        <w:rPr>
          <w:i/>
          <w:iCs/>
        </w:rPr>
        <w:t>Analyses</w:t>
      </w:r>
    </w:p>
    <w:p w14:paraId="7CAC9F38" w14:textId="77777777" w:rsidR="007E097D" w:rsidRDefault="007E097D" w:rsidP="00A05028">
      <w:pPr>
        <w:spacing w:line="480" w:lineRule="auto"/>
        <w:ind w:firstLine="720"/>
        <w:rPr>
          <w:rFonts w:eastAsia="Calibri"/>
        </w:rPr>
      </w:pPr>
      <w:r w:rsidRPr="003E6EEF">
        <w:rPr>
          <w:rFonts w:eastAsia="Calibri"/>
        </w:rPr>
        <w:t xml:space="preserve">All analyses were conducted using SAS 9.4 (Cary, NC). Descriptive analyses, including distribution analyses, were performed to describe </w:t>
      </w:r>
      <w:r>
        <w:rPr>
          <w:rFonts w:eastAsia="Calibri"/>
        </w:rPr>
        <w:t>the study variables</w:t>
      </w:r>
      <w:r w:rsidRPr="003E6EEF">
        <w:rPr>
          <w:rFonts w:eastAsia="Calibri"/>
        </w:rPr>
        <w:t xml:space="preserve">. </w:t>
      </w:r>
      <w:r w:rsidRPr="00A43D5A">
        <w:rPr>
          <w:rFonts w:eastAsia="Calibri"/>
        </w:rPr>
        <w:t xml:space="preserve">Continuous variables that were not normally distributed were standardized (with a mean of 0 and a standard deviation [SD] of 1). </w:t>
      </w:r>
      <w:r w:rsidRPr="003E6EEF">
        <w:rPr>
          <w:rFonts w:eastAsia="Calibri"/>
        </w:rPr>
        <w:t xml:space="preserve">As the primary endpoint </w:t>
      </w:r>
      <w:proofErr w:type="spellStart"/>
      <w:r>
        <w:rPr>
          <w:rFonts w:eastAsia="Calibri"/>
        </w:rPr>
        <w:t>i</w:t>
      </w:r>
      <w:r w:rsidRPr="003E6EEF">
        <w:rPr>
          <w:rFonts w:eastAsia="Calibri"/>
        </w:rPr>
        <w:t>HMV</w:t>
      </w:r>
      <w:proofErr w:type="spellEnd"/>
      <w:r w:rsidRPr="003E6EEF">
        <w:rPr>
          <w:rFonts w:eastAsia="Calibri"/>
        </w:rPr>
        <w:t xml:space="preserve"> </w:t>
      </w:r>
      <w:r>
        <w:rPr>
          <w:rFonts w:eastAsia="Calibri"/>
        </w:rPr>
        <w:t>duration</w:t>
      </w:r>
      <w:r w:rsidRPr="003E6EEF">
        <w:rPr>
          <w:rFonts w:eastAsia="Calibri"/>
        </w:rPr>
        <w:t xml:space="preserve">, we used </w:t>
      </w:r>
      <w:r>
        <w:rPr>
          <w:rFonts w:eastAsia="Calibri"/>
        </w:rPr>
        <w:t xml:space="preserve">survival analysis </w:t>
      </w:r>
      <w:r w:rsidRPr="003E6EEF">
        <w:rPr>
          <w:rFonts w:eastAsia="Calibri"/>
        </w:rPr>
        <w:t xml:space="preserve">approach to model the </w:t>
      </w:r>
      <w:proofErr w:type="spellStart"/>
      <w:r>
        <w:rPr>
          <w:rFonts w:eastAsia="Calibri"/>
        </w:rPr>
        <w:t>i</w:t>
      </w:r>
      <w:r w:rsidRPr="003E6EEF">
        <w:rPr>
          <w:rFonts w:eastAsia="Calibri"/>
        </w:rPr>
        <w:t>HMV</w:t>
      </w:r>
      <w:proofErr w:type="spellEnd"/>
      <w:r w:rsidRPr="003E6EEF">
        <w:rPr>
          <w:rFonts w:eastAsia="Calibri"/>
        </w:rPr>
        <w:t xml:space="preserve"> </w:t>
      </w:r>
      <w:r>
        <w:rPr>
          <w:rFonts w:eastAsia="Calibri"/>
        </w:rPr>
        <w:t>duration</w:t>
      </w:r>
      <w:r w:rsidRPr="003E6EEF">
        <w:rPr>
          <w:rFonts w:eastAsia="Calibri"/>
        </w:rPr>
        <w:t xml:space="preserve">. Patients </w:t>
      </w:r>
      <w:r>
        <w:rPr>
          <w:rFonts w:eastAsia="Calibri"/>
        </w:rPr>
        <w:t xml:space="preserve">who did not stop </w:t>
      </w:r>
      <w:proofErr w:type="spellStart"/>
      <w:r>
        <w:rPr>
          <w:rFonts w:eastAsia="Calibri"/>
        </w:rPr>
        <w:t>iHMV</w:t>
      </w:r>
      <w:proofErr w:type="spellEnd"/>
      <w:r w:rsidRPr="003E6EEF">
        <w:rPr>
          <w:rFonts w:eastAsia="Calibri"/>
        </w:rPr>
        <w:t xml:space="preserve"> were censored at the time of last follow-up. </w:t>
      </w:r>
      <w:proofErr w:type="spellStart"/>
      <w:r>
        <w:rPr>
          <w:rFonts w:eastAsia="Calibri"/>
        </w:rPr>
        <w:t>i</w:t>
      </w:r>
      <w:r w:rsidRPr="003E6EEF">
        <w:rPr>
          <w:rFonts w:eastAsia="Calibri"/>
        </w:rPr>
        <w:t>HMV</w:t>
      </w:r>
      <w:proofErr w:type="spellEnd"/>
      <w:r w:rsidRPr="003E6EEF">
        <w:rPr>
          <w:rFonts w:eastAsia="Calibri"/>
        </w:rPr>
        <w:t xml:space="preserve"> </w:t>
      </w:r>
      <w:r>
        <w:rPr>
          <w:rFonts w:eastAsia="Calibri"/>
        </w:rPr>
        <w:t>duration</w:t>
      </w:r>
      <w:r w:rsidRPr="003E6EEF">
        <w:rPr>
          <w:rFonts w:eastAsia="Calibri"/>
        </w:rPr>
        <w:t xml:space="preserve"> was illustrated with a Kaplan-Meier curve. Cox regression analysis was used to examine the associations between the patient-level factors of interest and </w:t>
      </w:r>
      <w:proofErr w:type="spellStart"/>
      <w:r>
        <w:rPr>
          <w:rFonts w:eastAsia="Calibri"/>
        </w:rPr>
        <w:t>i</w:t>
      </w:r>
      <w:r w:rsidRPr="003E6EEF">
        <w:rPr>
          <w:rFonts w:eastAsia="Calibri"/>
        </w:rPr>
        <w:t>HMV</w:t>
      </w:r>
      <w:proofErr w:type="spellEnd"/>
      <w:r w:rsidRPr="003E6EEF">
        <w:rPr>
          <w:rFonts w:eastAsia="Calibri"/>
        </w:rPr>
        <w:t xml:space="preserve"> </w:t>
      </w:r>
      <w:r>
        <w:rPr>
          <w:rFonts w:eastAsia="Calibri"/>
        </w:rPr>
        <w:t>duration</w:t>
      </w:r>
      <w:r w:rsidRPr="003E6EEF">
        <w:rPr>
          <w:rFonts w:eastAsia="Calibri"/>
        </w:rPr>
        <w:t xml:space="preserve">. We conducted univariable analysis between each of the patient-level factors and </w:t>
      </w:r>
      <w:proofErr w:type="spellStart"/>
      <w:r>
        <w:rPr>
          <w:rFonts w:eastAsia="Calibri"/>
        </w:rPr>
        <w:t>i</w:t>
      </w:r>
      <w:r w:rsidRPr="003E6EEF">
        <w:rPr>
          <w:rFonts w:eastAsia="Calibri"/>
        </w:rPr>
        <w:t>HMV</w:t>
      </w:r>
      <w:proofErr w:type="spellEnd"/>
      <w:r w:rsidRPr="003E6EEF">
        <w:rPr>
          <w:rFonts w:eastAsia="Calibri"/>
        </w:rPr>
        <w:t xml:space="preserve"> </w:t>
      </w:r>
      <w:r>
        <w:rPr>
          <w:rFonts w:eastAsia="Calibri"/>
        </w:rPr>
        <w:t>duration</w:t>
      </w:r>
      <w:r w:rsidRPr="003E6EEF">
        <w:rPr>
          <w:rFonts w:eastAsia="Calibri"/>
        </w:rPr>
        <w:t xml:space="preserve">. Significant factors from the univariable analysis (P&lt;0.05) were selected to be </w:t>
      </w:r>
      <w:r>
        <w:rPr>
          <w:rFonts w:eastAsia="Calibri"/>
        </w:rPr>
        <w:t xml:space="preserve">considered as </w:t>
      </w:r>
      <w:r>
        <w:rPr>
          <w:rFonts w:eastAsia="Calibri"/>
        </w:rPr>
        <w:lastRenderedPageBreak/>
        <w:t xml:space="preserve">predictors in the subsequent multivariable analysis. We conducted correlation analysis to examine co-linearity between those selected factors; if which collinearity was &gt;0.9, we chose one variable among those highly correlated variables to be include in the model. Hazard ratios (HR) less than one reflect “longer survival” on </w:t>
      </w:r>
      <w:proofErr w:type="spellStart"/>
      <w:r>
        <w:rPr>
          <w:rFonts w:eastAsia="Calibri"/>
        </w:rPr>
        <w:t>iHMV</w:t>
      </w:r>
      <w:proofErr w:type="spellEnd"/>
      <w:r>
        <w:rPr>
          <w:rFonts w:eastAsia="Calibri"/>
        </w:rPr>
        <w:t xml:space="preserve"> (i.e., longer </w:t>
      </w:r>
      <w:proofErr w:type="spellStart"/>
      <w:r>
        <w:rPr>
          <w:rFonts w:eastAsia="Calibri"/>
        </w:rPr>
        <w:t>iHMV</w:t>
      </w:r>
      <w:proofErr w:type="spellEnd"/>
      <w:r>
        <w:rPr>
          <w:rFonts w:eastAsia="Calibri"/>
        </w:rPr>
        <w:t xml:space="preserve"> duration) and were interpreted to be a less favorable outcome. HRs greater than one reflects “shorter survival” on </w:t>
      </w:r>
      <w:proofErr w:type="spellStart"/>
      <w:r>
        <w:rPr>
          <w:rFonts w:eastAsia="Calibri"/>
        </w:rPr>
        <w:t>iHMV</w:t>
      </w:r>
      <w:proofErr w:type="spellEnd"/>
      <w:r>
        <w:rPr>
          <w:rFonts w:eastAsia="Calibri"/>
        </w:rPr>
        <w:t xml:space="preserve"> (i.e., shorter </w:t>
      </w:r>
      <w:proofErr w:type="spellStart"/>
      <w:r>
        <w:rPr>
          <w:rFonts w:eastAsia="Calibri"/>
        </w:rPr>
        <w:t>iHMV</w:t>
      </w:r>
      <w:proofErr w:type="spellEnd"/>
      <w:r>
        <w:rPr>
          <w:rFonts w:eastAsia="Calibri"/>
        </w:rPr>
        <w:t xml:space="preserve"> duration) and were interpreted as a more favorable outcome.</w:t>
      </w:r>
    </w:p>
    <w:p w14:paraId="056519EA" w14:textId="77777777" w:rsidR="007E097D" w:rsidRDefault="007E097D" w:rsidP="00A05028">
      <w:pPr>
        <w:spacing w:line="480" w:lineRule="auto"/>
        <w:ind w:firstLine="720"/>
        <w:rPr>
          <w:rFonts w:eastAsia="Calibri"/>
        </w:rPr>
      </w:pPr>
    </w:p>
    <w:p w14:paraId="129FCF26" w14:textId="77777777" w:rsidR="007E097D" w:rsidRPr="00A05028" w:rsidRDefault="007E097D" w:rsidP="00A05028">
      <w:pPr>
        <w:spacing w:line="480" w:lineRule="auto"/>
        <w:ind w:firstLine="720"/>
        <w:rPr>
          <w:rFonts w:eastAsia="Calibri"/>
        </w:rPr>
      </w:pPr>
    </w:p>
    <w:p w14:paraId="17DA8D92" w14:textId="77777777" w:rsidR="007E097D" w:rsidRPr="00DF7835" w:rsidRDefault="007E097D" w:rsidP="00DF7835">
      <w:pPr>
        <w:spacing w:line="480" w:lineRule="auto"/>
        <w:rPr>
          <w:b/>
          <w:bCs/>
        </w:rPr>
      </w:pPr>
      <w:r w:rsidRPr="00DF7835">
        <w:rPr>
          <w:b/>
          <w:bCs/>
        </w:rPr>
        <w:t>Results</w:t>
      </w:r>
    </w:p>
    <w:p w14:paraId="3675C653" w14:textId="77777777" w:rsidR="007E097D" w:rsidRDefault="007E097D" w:rsidP="003E6EEF">
      <w:pPr>
        <w:rPr>
          <w:i/>
          <w:iCs/>
        </w:rPr>
      </w:pPr>
      <w:r>
        <w:rPr>
          <w:i/>
          <w:iCs/>
        </w:rPr>
        <w:t xml:space="preserve">Study Cohort </w:t>
      </w:r>
    </w:p>
    <w:p w14:paraId="5F461F0A" w14:textId="77777777" w:rsidR="007E097D" w:rsidRDefault="007E097D" w:rsidP="003E6EEF">
      <w:pPr>
        <w:rPr>
          <w:i/>
          <w:iCs/>
        </w:rPr>
      </w:pPr>
    </w:p>
    <w:p w14:paraId="2021A803" w14:textId="77777777" w:rsidR="007E097D" w:rsidRDefault="007E097D" w:rsidP="00463462">
      <w:pPr>
        <w:spacing w:line="480" w:lineRule="auto"/>
        <w:ind w:firstLine="720"/>
        <w:contextualSpacing/>
      </w:pPr>
      <w:r>
        <w:t xml:space="preserve">Of 598 records screened from the registry list, an initial 408 were determined to be ineligible primarily because they used </w:t>
      </w:r>
      <w:proofErr w:type="spellStart"/>
      <w:r>
        <w:t>iHMV</w:t>
      </w:r>
      <w:proofErr w:type="spellEnd"/>
      <w:r>
        <w:t xml:space="preserve"> for a reason other than CLD of prematurity (</w:t>
      </w:r>
      <w:r w:rsidRPr="00897B8D">
        <w:rPr>
          <w:b/>
          <w:bCs/>
        </w:rPr>
        <w:t xml:space="preserve">Figure </w:t>
      </w:r>
      <w:r>
        <w:rPr>
          <w:b/>
          <w:bCs/>
        </w:rPr>
        <w:t>1</w:t>
      </w:r>
      <w:r>
        <w:t>). In-depth chart review removed another 31 patients because data was unavailable in the electronic record, another 29 patients did not have confirmed CLD of prematurity, and another 11 patients who were never home on ventilation. A total of 119 patients were eligible for the study.</w:t>
      </w:r>
    </w:p>
    <w:p w14:paraId="46374BB6" w14:textId="77777777" w:rsidR="007E097D" w:rsidRDefault="007E097D" w:rsidP="00463462">
      <w:pPr>
        <w:spacing w:line="480" w:lineRule="auto"/>
        <w:ind w:firstLine="720"/>
        <w:contextualSpacing/>
      </w:pPr>
    </w:p>
    <w:p w14:paraId="5260700A" w14:textId="77777777" w:rsidR="007E097D" w:rsidRPr="000A3B19" w:rsidRDefault="007E097D" w:rsidP="000A3B19">
      <w:pPr>
        <w:spacing w:line="480" w:lineRule="auto"/>
        <w:contextualSpacing/>
        <w:rPr>
          <w:i/>
          <w:iCs/>
        </w:rPr>
      </w:pPr>
      <w:r>
        <w:rPr>
          <w:i/>
          <w:iCs/>
        </w:rPr>
        <w:t>Patient Demographics and Clinical Characteristics</w:t>
      </w:r>
    </w:p>
    <w:p w14:paraId="58B71130" w14:textId="77777777" w:rsidR="007E097D" w:rsidRDefault="007E097D" w:rsidP="00CA7150">
      <w:pPr>
        <w:spacing w:line="480" w:lineRule="auto"/>
        <w:ind w:firstLine="720"/>
        <w:contextualSpacing/>
      </w:pPr>
      <w:r>
        <w:t>The study cohort had a slight male predominance (55%</w:t>
      </w:r>
      <w:proofErr w:type="gramStart"/>
      <w:r>
        <w:t>)</w:t>
      </w:r>
      <w:proofErr w:type="gramEnd"/>
      <w:r>
        <w:t xml:space="preserve"> and the most common race/ethnicity was Non-Hispanic Black (35%) (</w:t>
      </w:r>
      <w:r w:rsidRPr="0066684B">
        <w:rPr>
          <w:b/>
          <w:bCs/>
        </w:rPr>
        <w:t>Table 1</w:t>
      </w:r>
      <w:r>
        <w:t>). Average g</w:t>
      </w:r>
      <w:r w:rsidRPr="000C75FA">
        <w:t>estation age at birth was 26.0 (</w:t>
      </w:r>
      <w:r>
        <w:t xml:space="preserve">SD </w:t>
      </w:r>
      <w:r w:rsidRPr="000C75FA">
        <w:t>1.9) weeks</w:t>
      </w:r>
      <w:r>
        <w:t xml:space="preserve"> and average</w:t>
      </w:r>
      <w:r w:rsidRPr="000C75FA">
        <w:t xml:space="preserve"> corrected gestational age was 38.1 (</w:t>
      </w:r>
      <w:r>
        <w:t xml:space="preserve">SD </w:t>
      </w:r>
      <w:r w:rsidRPr="000C75FA">
        <w:t xml:space="preserve">19.3) weeks. </w:t>
      </w:r>
    </w:p>
    <w:p w14:paraId="021B4B50" w14:textId="77777777" w:rsidR="007E097D" w:rsidRDefault="007E097D" w:rsidP="000A3B19">
      <w:pPr>
        <w:spacing w:line="480" w:lineRule="auto"/>
        <w:ind w:firstLine="720"/>
        <w:contextualSpacing/>
      </w:pPr>
      <w:r>
        <w:lastRenderedPageBreak/>
        <w:t>Raw m</w:t>
      </w:r>
      <w:r w:rsidRPr="00541B8D">
        <w:t>edian age at index discharge was 12.0 (interquartile range (</w:t>
      </w:r>
      <w:r>
        <w:t>IQR)</w:t>
      </w:r>
      <w:r w:rsidRPr="00541B8D">
        <w:t xml:space="preserve"> 8.9, 14.4) months</w:t>
      </w:r>
      <w:r>
        <w:t xml:space="preserve"> (</w:t>
      </w:r>
      <w:r w:rsidRPr="000A3B19">
        <w:rPr>
          <w:b/>
          <w:bCs/>
        </w:rPr>
        <w:t>Table 1</w:t>
      </w:r>
      <w:r>
        <w:t>). T</w:t>
      </w:r>
      <w:r w:rsidRPr="000A3B19">
        <w:t xml:space="preserve">he </w:t>
      </w:r>
      <w:r>
        <w:t>median</w:t>
      </w:r>
      <w:r w:rsidRPr="000A3B19">
        <w:t xml:space="preserve"> corrected </w:t>
      </w:r>
      <w:r w:rsidRPr="00482372">
        <w:t>gestational age of 38.1 weeks (SD 19.3) was</w:t>
      </w:r>
      <w:r>
        <w:t xml:space="preserve"> very similar to </w:t>
      </w:r>
      <w:r w:rsidRPr="000A3B19">
        <w:t xml:space="preserve">the </w:t>
      </w:r>
      <w:r>
        <w:t>mean</w:t>
      </w:r>
      <w:r w:rsidRPr="000A3B19">
        <w:t xml:space="preserve"> corrected tracheostomy age of </w:t>
      </w:r>
      <w:r w:rsidRPr="00482372">
        <w:t>37.9 (</w:t>
      </w:r>
      <w:r>
        <w:t>SD 23.1) except a slightly wider SD spread</w:t>
      </w:r>
      <w:r w:rsidRPr="000A3B19">
        <w:t xml:space="preserve">. </w:t>
      </w:r>
    </w:p>
    <w:p w14:paraId="6C24EC9D" w14:textId="77777777" w:rsidR="007E097D" w:rsidRDefault="007E097D" w:rsidP="000A3B19">
      <w:pPr>
        <w:spacing w:line="480" w:lineRule="auto"/>
        <w:ind w:firstLine="720"/>
        <w:contextualSpacing/>
      </w:pPr>
      <w:r w:rsidRPr="00195DF6">
        <w:t>About three-quarters</w:t>
      </w:r>
      <w:r>
        <w:t xml:space="preserve"> of patients</w:t>
      </w:r>
      <w:r w:rsidRPr="00195DF6">
        <w:t xml:space="preserve"> </w:t>
      </w:r>
      <w:r w:rsidRPr="00D853FE">
        <w:t>(76%, n=91) were diagnosed with pulmonary hypertension of which the majority still had pulmonary hypertension at discharge</w:t>
      </w:r>
      <w:r>
        <w:t xml:space="preserve"> (</w:t>
      </w:r>
      <w:r w:rsidRPr="00195DF6">
        <w:t>57</w:t>
      </w:r>
      <w:r w:rsidRPr="000A3B19">
        <w:t>.1% (n=68).</w:t>
      </w:r>
      <w:r w:rsidRPr="00195DF6">
        <w:t xml:space="preserve"> Half of patients used oxygen at discharge (49.6%, n=59)</w:t>
      </w:r>
      <w:r>
        <w:t xml:space="preserve">, a fifth (21.0%, n=25) had </w:t>
      </w:r>
      <w:r w:rsidRPr="00195DF6">
        <w:rPr>
          <w:rFonts w:eastAsia="Calibri"/>
          <w:bCs/>
        </w:rPr>
        <w:t>high-intensive neurologic i</w:t>
      </w:r>
      <w:r w:rsidRPr="00195DF6">
        <w:rPr>
          <w:iCs/>
        </w:rPr>
        <w:t>mpairment</w:t>
      </w:r>
      <w:r>
        <w:rPr>
          <w:iCs/>
        </w:rPr>
        <w:t xml:space="preserve">, and 12.6% (n=15) had </w:t>
      </w:r>
      <w:r w:rsidRPr="00195DF6">
        <w:t>critical congenital heart disease.</w:t>
      </w:r>
      <w:r>
        <w:t xml:space="preserve"> </w:t>
      </w:r>
      <w:r w:rsidRPr="00195DF6">
        <w:t xml:space="preserve">Most patients (n=108, 91%) were on </w:t>
      </w:r>
      <w:proofErr w:type="spellStart"/>
      <w:r>
        <w:t>iHMV</w:t>
      </w:r>
      <w:proofErr w:type="spellEnd"/>
      <w:r w:rsidRPr="00195DF6">
        <w:t xml:space="preserve"> </w:t>
      </w:r>
      <w:r>
        <w:t xml:space="preserve">continuously (24/7) </w:t>
      </w:r>
      <w:r w:rsidRPr="00195DF6">
        <w:t xml:space="preserve">at index discharge. Among those who </w:t>
      </w:r>
      <w:r>
        <w:t>took breaks off the ventilator</w:t>
      </w:r>
      <w:r w:rsidRPr="00195DF6">
        <w:t xml:space="preserve">, they </w:t>
      </w:r>
      <w:r>
        <w:t xml:space="preserve">used </w:t>
      </w:r>
      <w:proofErr w:type="spellStart"/>
      <w:r>
        <w:t>iHMV</w:t>
      </w:r>
      <w:proofErr w:type="spellEnd"/>
      <w:r>
        <w:t xml:space="preserve"> an average of 18.0 (SD 5.4)</w:t>
      </w:r>
      <w:r w:rsidRPr="00C96BB0">
        <w:t xml:space="preserve"> </w:t>
      </w:r>
      <w:r>
        <w:t>hours/day, such that across the study cohort patients were using a ventilator for a mean 23.3 (SD 2.7) hours/day</w:t>
      </w:r>
      <w:r w:rsidRPr="00195DF6">
        <w:t xml:space="preserve">. </w:t>
      </w:r>
      <w:r w:rsidRPr="00A43D5A">
        <w:t>The level of daily ventilator support ranged from 678</w:t>
      </w:r>
      <w:r>
        <w:t>.0</w:t>
      </w:r>
      <w:r w:rsidRPr="00A43D5A">
        <w:t xml:space="preserve"> to 6,434</w:t>
      </w:r>
      <w:r>
        <w:t>.</w:t>
      </w:r>
      <w:r w:rsidRPr="00A43D5A">
        <w:t>4 liters/kg/day. On average patients received 3,309</w:t>
      </w:r>
      <w:r>
        <w:t>.6</w:t>
      </w:r>
      <w:r w:rsidRPr="00A43D5A">
        <w:t xml:space="preserve"> (SD 1,275</w:t>
      </w:r>
      <w:r>
        <w:t>.0</w:t>
      </w:r>
      <w:r w:rsidRPr="00A43D5A">
        <w:t xml:space="preserve">) of </w:t>
      </w:r>
      <w:r>
        <w:t>liters</w:t>
      </w:r>
      <w:r w:rsidRPr="00A43D5A">
        <w:t>/kg/day.</w:t>
      </w:r>
    </w:p>
    <w:p w14:paraId="5F9637D9" w14:textId="77777777" w:rsidR="007E097D" w:rsidRDefault="007E097D" w:rsidP="006F0EDB">
      <w:pPr>
        <w:spacing w:line="480" w:lineRule="auto"/>
        <w:ind w:firstLine="720"/>
        <w:contextualSpacing/>
      </w:pPr>
    </w:p>
    <w:p w14:paraId="20E9777F" w14:textId="77777777" w:rsidR="007E097D" w:rsidRDefault="007E097D" w:rsidP="006F0EDB">
      <w:pPr>
        <w:spacing w:line="480" w:lineRule="auto"/>
        <w:contextualSpacing/>
        <w:rPr>
          <w:i/>
          <w:iCs/>
        </w:rPr>
      </w:pPr>
      <w:proofErr w:type="spellStart"/>
      <w:r>
        <w:rPr>
          <w:i/>
          <w:iCs/>
        </w:rPr>
        <w:t>iHMV</w:t>
      </w:r>
      <w:proofErr w:type="spellEnd"/>
      <w:r>
        <w:rPr>
          <w:i/>
          <w:iCs/>
        </w:rPr>
        <w:t xml:space="preserve"> Duration</w:t>
      </w:r>
    </w:p>
    <w:p w14:paraId="3799F9AF" w14:textId="77777777" w:rsidR="007E097D" w:rsidRPr="002D6D43" w:rsidRDefault="007E097D" w:rsidP="006E1E83">
      <w:pPr>
        <w:spacing w:line="480" w:lineRule="auto"/>
        <w:ind w:firstLine="720"/>
      </w:pPr>
      <w:r w:rsidRPr="0066684B">
        <w:t xml:space="preserve">Among the study cohort, half (n=58, 49%) fully weaned from </w:t>
      </w:r>
      <w:proofErr w:type="spellStart"/>
      <w:r>
        <w:t>iHMV</w:t>
      </w:r>
      <w:proofErr w:type="spellEnd"/>
      <w:r>
        <w:t xml:space="preserve"> by the study endpoint at a mean of 29.7 (SD 19.8) months. A third of patients</w:t>
      </w:r>
      <w:r w:rsidRPr="0066684B">
        <w:t xml:space="preserve"> (n=38, 32%) were still actively using </w:t>
      </w:r>
      <w:proofErr w:type="spellStart"/>
      <w:r>
        <w:t>iHMV</w:t>
      </w:r>
      <w:proofErr w:type="spellEnd"/>
      <w:r>
        <w:t xml:space="preserve"> at the study end (</w:t>
      </w:r>
      <w:r w:rsidRPr="005014AA">
        <w:rPr>
          <w:b/>
          <w:bCs/>
        </w:rPr>
        <w:t>Table 2</w:t>
      </w:r>
      <w:r>
        <w:t>)</w:t>
      </w:r>
      <w:r w:rsidRPr="0066684B">
        <w:t>.</w:t>
      </w:r>
      <w:r>
        <w:t xml:space="preserve"> </w:t>
      </w:r>
      <w:r w:rsidRPr="0066684B">
        <w:t>Twelve percent (n=14) were lost-to follow-up</w:t>
      </w:r>
      <w:r>
        <w:t xml:space="preserve"> for moving out of state (n=4) and transferring care locally (n=10). Another </w:t>
      </w:r>
      <w:r w:rsidRPr="0066684B">
        <w:t xml:space="preserve">7% (n=9) died during the </w:t>
      </w:r>
      <w:proofErr w:type="spellStart"/>
      <w:r>
        <w:t>iHMV</w:t>
      </w:r>
      <w:proofErr w:type="spellEnd"/>
      <w:r w:rsidRPr="0066684B">
        <w:t xml:space="preserve"> period. </w:t>
      </w:r>
      <w:r w:rsidRPr="005014AA">
        <w:rPr>
          <w:b/>
          <w:bCs/>
        </w:rPr>
        <w:t>Figure 2</w:t>
      </w:r>
      <w:r>
        <w:t xml:space="preserve"> shows the </w:t>
      </w:r>
      <w:r w:rsidRPr="00E105DE">
        <w:rPr>
          <w:rFonts w:eastAsia="Calibri"/>
        </w:rPr>
        <w:t xml:space="preserve">Kaplan-Meier curve </w:t>
      </w:r>
      <w:r>
        <w:rPr>
          <w:rFonts w:eastAsia="Calibri"/>
        </w:rPr>
        <w:t xml:space="preserve">illustrating </w:t>
      </w:r>
      <w:r>
        <w:t xml:space="preserve">the fraction of </w:t>
      </w:r>
      <w:r w:rsidRPr="00E105DE">
        <w:rPr>
          <w:rFonts w:eastAsia="Calibri"/>
        </w:rPr>
        <w:t xml:space="preserve">patients remaining on </w:t>
      </w:r>
      <w:proofErr w:type="spellStart"/>
      <w:r>
        <w:rPr>
          <w:rFonts w:eastAsia="Calibri"/>
        </w:rPr>
        <w:t>iHMV</w:t>
      </w:r>
      <w:proofErr w:type="spellEnd"/>
      <w:r>
        <w:rPr>
          <w:rFonts w:eastAsia="Calibri"/>
        </w:rPr>
        <w:t xml:space="preserve"> </w:t>
      </w:r>
      <w:r w:rsidRPr="00E105DE">
        <w:rPr>
          <w:rFonts w:eastAsia="Calibri"/>
        </w:rPr>
        <w:t>over time in month</w:t>
      </w:r>
      <w:r>
        <w:rPr>
          <w:rFonts w:eastAsia="Calibri"/>
        </w:rPr>
        <w:t xml:space="preserve">s. Fifty percent </w:t>
      </w:r>
      <w:r w:rsidRPr="0066684B">
        <w:t xml:space="preserve">of the </w:t>
      </w:r>
      <w:r>
        <w:t>sample</w:t>
      </w:r>
      <w:r w:rsidRPr="0066684B">
        <w:t xml:space="preserve"> </w:t>
      </w:r>
      <w:r>
        <w:t xml:space="preserve">was </w:t>
      </w:r>
      <w:r w:rsidRPr="0066684B">
        <w:t xml:space="preserve">weaned off </w:t>
      </w:r>
      <w:proofErr w:type="spellStart"/>
      <w:r>
        <w:t>iHMV</w:t>
      </w:r>
      <w:proofErr w:type="spellEnd"/>
      <w:r w:rsidRPr="0066684B">
        <w:t xml:space="preserve"> by </w:t>
      </w:r>
      <w:r>
        <w:t>36</w:t>
      </w:r>
      <w:r w:rsidRPr="0066684B">
        <w:t xml:space="preserve"> months and 90% </w:t>
      </w:r>
      <w:r>
        <w:t xml:space="preserve">was </w:t>
      </w:r>
      <w:r w:rsidRPr="0066684B">
        <w:t xml:space="preserve">weaned off </w:t>
      </w:r>
      <w:proofErr w:type="spellStart"/>
      <w:r>
        <w:t>iHMV</w:t>
      </w:r>
      <w:proofErr w:type="spellEnd"/>
      <w:r w:rsidRPr="0066684B">
        <w:t xml:space="preserve"> by 52 months. </w:t>
      </w:r>
    </w:p>
    <w:p w14:paraId="290C9168" w14:textId="77777777" w:rsidR="007E097D" w:rsidRDefault="007E097D" w:rsidP="00F56674"/>
    <w:p w14:paraId="62330CA9" w14:textId="77777777" w:rsidR="007E097D" w:rsidRPr="009F69B1" w:rsidRDefault="007E097D" w:rsidP="00F56674"/>
    <w:p w14:paraId="5B798CFB" w14:textId="77777777" w:rsidR="007E097D" w:rsidRDefault="007E097D" w:rsidP="00F56674">
      <w:pPr>
        <w:rPr>
          <w:i/>
          <w:iCs/>
        </w:rPr>
      </w:pPr>
      <w:r>
        <w:rPr>
          <w:i/>
          <w:iCs/>
        </w:rPr>
        <w:t xml:space="preserve">Univariable Cox Regression Analysis of </w:t>
      </w:r>
      <w:proofErr w:type="spellStart"/>
      <w:r>
        <w:rPr>
          <w:i/>
          <w:iCs/>
        </w:rPr>
        <w:t>iHMV</w:t>
      </w:r>
      <w:proofErr w:type="spellEnd"/>
      <w:r>
        <w:rPr>
          <w:i/>
          <w:iCs/>
        </w:rPr>
        <w:t xml:space="preserve"> Duration </w:t>
      </w:r>
    </w:p>
    <w:p w14:paraId="61224E00" w14:textId="77777777" w:rsidR="007E097D" w:rsidRDefault="007E097D" w:rsidP="00F56674">
      <w:pPr>
        <w:rPr>
          <w:i/>
          <w:iCs/>
        </w:rPr>
      </w:pPr>
    </w:p>
    <w:p w14:paraId="7C174783" w14:textId="77777777" w:rsidR="007E097D" w:rsidRPr="00A05028" w:rsidRDefault="007E097D" w:rsidP="00A05028">
      <w:pPr>
        <w:spacing w:line="480" w:lineRule="auto"/>
        <w:ind w:firstLine="720"/>
      </w:pPr>
      <w:r w:rsidRPr="00F56674">
        <w:lastRenderedPageBreak/>
        <w:t xml:space="preserve">Several unadjusted patient-level variables were associated with duration on </w:t>
      </w:r>
      <w:proofErr w:type="spellStart"/>
      <w:r w:rsidRPr="00F56674">
        <w:t>iHMV</w:t>
      </w:r>
      <w:proofErr w:type="spellEnd"/>
      <w:r w:rsidRPr="00F56674">
        <w:t xml:space="preserve"> (</w:t>
      </w:r>
      <w:r w:rsidRPr="00044F91">
        <w:rPr>
          <w:b/>
          <w:bCs/>
        </w:rPr>
        <w:t>Table 3</w:t>
      </w:r>
      <w:r w:rsidRPr="00F56674">
        <w:t xml:space="preserve">). Patient with Hispanic/Latinx ethnicity were </w:t>
      </w:r>
      <w:r>
        <w:t xml:space="preserve">more likely to be </w:t>
      </w:r>
      <w:r w:rsidRPr="00F56674">
        <w:t xml:space="preserve">on the </w:t>
      </w:r>
      <w:r w:rsidRPr="009F69B1">
        <w:t xml:space="preserve">ventilator longer </w:t>
      </w:r>
      <w:r w:rsidRPr="00F56674">
        <w:t xml:space="preserve">compared to Non-Hispanic White patients </w:t>
      </w:r>
      <w:r>
        <w:t xml:space="preserve">with a </w:t>
      </w:r>
      <w:r w:rsidRPr="00F56674">
        <w:t>Hazard Ratio (HR)</w:t>
      </w:r>
      <w:r>
        <w:t xml:space="preserve"> of</w:t>
      </w:r>
      <w:r w:rsidRPr="00F56674">
        <w:t xml:space="preserve"> 0.31 (95% Confidence Interval (CI) 0.13,</w:t>
      </w:r>
      <w:r>
        <w:t xml:space="preserve"> </w:t>
      </w:r>
      <w:r w:rsidRPr="00F56674">
        <w:t>0.7</w:t>
      </w:r>
      <w:r>
        <w:t>;</w:t>
      </w:r>
      <w:r w:rsidRPr="00F56674">
        <w:t xml:space="preserve"> p&lt;0.01). </w:t>
      </w:r>
      <w:r w:rsidRPr="009F69B1">
        <w:t xml:space="preserve">Patients who were older at discharge, had an older corrected gestational age, and who had an older corrected tracheostomy age were </w:t>
      </w:r>
      <w:r>
        <w:t>more likely to be on</w:t>
      </w:r>
      <w:r w:rsidRPr="009F69B1">
        <w:t xml:space="preserve"> </w:t>
      </w:r>
      <w:proofErr w:type="spellStart"/>
      <w:r w:rsidRPr="009F69B1">
        <w:t>iHMV</w:t>
      </w:r>
      <w:proofErr w:type="spellEnd"/>
      <w:r w:rsidRPr="009F69B1">
        <w:t xml:space="preserve"> for a shorter </w:t>
      </w:r>
      <w:r>
        <w:t>period</w:t>
      </w:r>
      <w:r w:rsidRPr="009F69B1">
        <w:t xml:space="preserve">. Consistent with our hypothesis, patients </w:t>
      </w:r>
      <w:r w:rsidRPr="00482372">
        <w:t xml:space="preserve">with higher levels of ventilator support were on the ventilator for longer periods of time (HR 0.69 (CI 0.48, 0.99), p=0.04). Children with a high intensity neurologic impairment were also more likely to be on </w:t>
      </w:r>
      <w:proofErr w:type="spellStart"/>
      <w:r w:rsidRPr="00482372">
        <w:t>iHMV</w:t>
      </w:r>
      <w:proofErr w:type="spellEnd"/>
      <w:r w:rsidRPr="00482372">
        <w:t xml:space="preserve"> longer with a HR of 0.38 (0.18, 0.78), p&lt;0.01. Patients care</w:t>
      </w:r>
      <w:r>
        <w:t>d</w:t>
      </w:r>
      <w:r w:rsidRPr="00482372">
        <w:t xml:space="preserve"> for by Pulmonologist B were more likely to use </w:t>
      </w:r>
      <w:proofErr w:type="spellStart"/>
      <w:r w:rsidRPr="00482372">
        <w:t>iHMV</w:t>
      </w:r>
      <w:proofErr w:type="spellEnd"/>
      <w:r w:rsidRPr="00482372">
        <w:t xml:space="preserve"> longer (HR 0.46 (CI 0.22, 0.98, p=0.04)) than Pulmonologist A.</w:t>
      </w:r>
      <w:r>
        <w:t xml:space="preserve"> </w:t>
      </w:r>
    </w:p>
    <w:p w14:paraId="241F73EA" w14:textId="77777777" w:rsidR="007E097D" w:rsidRDefault="007E097D" w:rsidP="006F0EDB">
      <w:pPr>
        <w:spacing w:line="480" w:lineRule="auto"/>
        <w:contextualSpacing/>
        <w:rPr>
          <w:rFonts w:eastAsiaTheme="majorEastAsia"/>
          <w:bCs/>
          <w:i/>
          <w:iCs/>
          <w:color w:val="000000" w:themeColor="text1"/>
        </w:rPr>
      </w:pPr>
    </w:p>
    <w:p w14:paraId="65AE8D48" w14:textId="77777777" w:rsidR="007E097D" w:rsidRDefault="007E097D" w:rsidP="006F0EDB">
      <w:pPr>
        <w:spacing w:line="480" w:lineRule="auto"/>
        <w:contextualSpacing/>
        <w:rPr>
          <w:rFonts w:eastAsiaTheme="majorEastAsia"/>
          <w:bCs/>
          <w:i/>
          <w:iCs/>
          <w:color w:val="000000" w:themeColor="text1"/>
        </w:rPr>
      </w:pPr>
    </w:p>
    <w:p w14:paraId="746EE29D" w14:textId="77777777" w:rsidR="007E097D" w:rsidRDefault="007E097D" w:rsidP="006F0EDB">
      <w:pPr>
        <w:spacing w:line="480" w:lineRule="auto"/>
        <w:contextualSpacing/>
      </w:pPr>
      <w:r w:rsidRPr="00D97291">
        <w:rPr>
          <w:rFonts w:eastAsiaTheme="majorEastAsia"/>
          <w:bCs/>
          <w:i/>
          <w:iCs/>
          <w:color w:val="000000" w:themeColor="text1"/>
        </w:rPr>
        <w:t>Multivariable Cox Regression Analysis</w:t>
      </w:r>
      <w:r>
        <w:rPr>
          <w:rFonts w:eastAsiaTheme="majorEastAsia"/>
          <w:bCs/>
          <w:i/>
          <w:iCs/>
          <w:color w:val="000000" w:themeColor="text1"/>
        </w:rPr>
        <w:t xml:space="preserve"> of</w:t>
      </w:r>
      <w:r w:rsidRPr="00D97291">
        <w:rPr>
          <w:rFonts w:eastAsiaTheme="majorEastAsia"/>
          <w:bCs/>
          <w:i/>
          <w:iCs/>
          <w:color w:val="000000" w:themeColor="text1"/>
        </w:rPr>
        <w:t xml:space="preserve"> </w:t>
      </w:r>
      <w:proofErr w:type="spellStart"/>
      <w:r>
        <w:rPr>
          <w:rFonts w:eastAsiaTheme="majorEastAsia"/>
          <w:bCs/>
          <w:i/>
          <w:iCs/>
          <w:color w:val="000000" w:themeColor="text1"/>
        </w:rPr>
        <w:t>iHMV</w:t>
      </w:r>
      <w:proofErr w:type="spellEnd"/>
      <w:r>
        <w:rPr>
          <w:rFonts w:eastAsiaTheme="majorEastAsia"/>
          <w:bCs/>
          <w:i/>
          <w:iCs/>
          <w:color w:val="000000" w:themeColor="text1"/>
        </w:rPr>
        <w:t xml:space="preserve"> Duration</w:t>
      </w:r>
      <w:r>
        <w:tab/>
      </w:r>
    </w:p>
    <w:p w14:paraId="5CF88A9C" w14:textId="77777777" w:rsidR="007E097D" w:rsidRDefault="007E097D" w:rsidP="00F56674">
      <w:pPr>
        <w:spacing w:line="480" w:lineRule="auto"/>
        <w:ind w:firstLine="720"/>
        <w:contextualSpacing/>
      </w:pPr>
      <w:r>
        <w:t xml:space="preserve">Given that age at discharge, corrected gestational age, and corrected tracheostomy age were highly correlated (0.92-0.99), we selected corrected tracheostomy age to be included in the multivariable analysis. Together, the following predictors were analyzed in the multivariable model: corrected tracheostomy age, race/ethnicity, presence of a high-intensive neurologic impairment, level of ventilatory support at discharge, and which primary pulmonologist managed a patient’s </w:t>
      </w:r>
      <w:proofErr w:type="spellStart"/>
      <w:r>
        <w:t>iHMV</w:t>
      </w:r>
      <w:proofErr w:type="spellEnd"/>
      <w:r>
        <w:t xml:space="preserve"> care (</w:t>
      </w:r>
      <w:r w:rsidRPr="00FE1D20">
        <w:rPr>
          <w:b/>
          <w:bCs/>
        </w:rPr>
        <w:t>Table 4</w:t>
      </w:r>
      <w:r>
        <w:t>). Among those examined, only race and ethnicity</w:t>
      </w:r>
      <w:r w:rsidRPr="004304E3">
        <w:t xml:space="preserve"> remained significantly associated with</w:t>
      </w:r>
      <w:r>
        <w:t xml:space="preserve"> duration of </w:t>
      </w:r>
      <w:proofErr w:type="spellStart"/>
      <w:r>
        <w:t>iHMV</w:t>
      </w:r>
      <w:proofErr w:type="spellEnd"/>
      <w:r>
        <w:t>. Hispanic/</w:t>
      </w:r>
      <w:proofErr w:type="spellStart"/>
      <w:r>
        <w:t>Lantix</w:t>
      </w:r>
      <w:proofErr w:type="spellEnd"/>
      <w:r>
        <w:t xml:space="preserve"> </w:t>
      </w:r>
      <w:r w:rsidRPr="009F69B1">
        <w:t xml:space="preserve">patients </w:t>
      </w:r>
      <w:r>
        <w:t xml:space="preserve">had an even lower HR of 0.14 </w:t>
      </w:r>
      <w:r w:rsidRPr="00F56674">
        <w:t>(</w:t>
      </w:r>
      <w:r>
        <w:t>CI</w:t>
      </w:r>
      <w:r w:rsidRPr="00930256">
        <w:t xml:space="preserve"> 0.04, 0.53</w:t>
      </w:r>
      <w:r>
        <w:t>, p</w:t>
      </w:r>
      <w:r w:rsidRPr="00F56674">
        <w:t>&lt;0.01</w:t>
      </w:r>
      <w:r>
        <w:t xml:space="preserve">) leading to higher probability of longer </w:t>
      </w:r>
      <w:proofErr w:type="spellStart"/>
      <w:r>
        <w:t>iHMV</w:t>
      </w:r>
      <w:proofErr w:type="spellEnd"/>
      <w:r>
        <w:t xml:space="preserve"> duration compared to the univariate analysis</w:t>
      </w:r>
      <w:r w:rsidRPr="00A43D5A">
        <w:t xml:space="preserve">. </w:t>
      </w:r>
      <w:r w:rsidRPr="00312D55">
        <w:t xml:space="preserve">In the multivariable model, patients grouped as Mix, Other or Unknown race and ethnicity </w:t>
      </w:r>
      <w:r>
        <w:t xml:space="preserve">were just at the cut-off of longer </w:t>
      </w:r>
      <w:proofErr w:type="spellStart"/>
      <w:r w:rsidRPr="00312D55">
        <w:t>iHMV</w:t>
      </w:r>
      <w:proofErr w:type="spellEnd"/>
      <w:r w:rsidRPr="00312D55">
        <w:t xml:space="preserve"> </w:t>
      </w:r>
      <w:r>
        <w:t>duration</w:t>
      </w:r>
      <w:r w:rsidRPr="00312D55">
        <w:t xml:space="preserve"> as well (HR 0.37 </w:t>
      </w:r>
      <w:r w:rsidRPr="00312D55">
        <w:lastRenderedPageBreak/>
        <w:t>(CI 0.14, 1.01, p=0.05)</w:t>
      </w:r>
      <w:r>
        <w:t xml:space="preserve">. Lastly, in the multivariable model, corrected tracheostomy age remained statistically associated with longer </w:t>
      </w:r>
      <w:proofErr w:type="spellStart"/>
      <w:r>
        <w:t>iHMV</w:t>
      </w:r>
      <w:proofErr w:type="spellEnd"/>
      <w:r>
        <w:t xml:space="preserve"> duration with a HR of 0.66 (CI 0.43, 0.98, p&lt;0.05).</w:t>
      </w:r>
    </w:p>
    <w:p w14:paraId="45EA59F7" w14:textId="77777777" w:rsidR="007E097D" w:rsidRDefault="007E097D" w:rsidP="00F56674">
      <w:pPr>
        <w:spacing w:line="480" w:lineRule="auto"/>
        <w:ind w:firstLine="720"/>
        <w:contextualSpacing/>
      </w:pPr>
    </w:p>
    <w:p w14:paraId="4A8A23A9" w14:textId="77777777" w:rsidR="007E097D" w:rsidRPr="00DD33F4" w:rsidRDefault="007E097D" w:rsidP="00DD33F4">
      <w:pPr>
        <w:pStyle w:val="Heading1"/>
      </w:pPr>
      <w:r>
        <w:t xml:space="preserve">Discussion </w:t>
      </w:r>
    </w:p>
    <w:p w14:paraId="3086D673" w14:textId="77777777" w:rsidR="007E097D" w:rsidRDefault="007E097D" w:rsidP="00DD33F4">
      <w:pPr>
        <w:spacing w:line="480" w:lineRule="auto"/>
        <w:ind w:firstLine="720"/>
        <w:contextualSpacing/>
        <w:rPr>
          <w:rFonts w:eastAsia="Calibri"/>
          <w:bCs/>
        </w:rPr>
      </w:pPr>
      <w:r w:rsidRPr="00DD33F4">
        <w:rPr>
          <w:rFonts w:eastAsia="Calibri"/>
          <w:bCs/>
        </w:rPr>
        <w:t xml:space="preserve">In this retrospective cohort study, </w:t>
      </w:r>
      <w:r>
        <w:rPr>
          <w:rFonts w:eastAsia="Calibri"/>
          <w:bCs/>
        </w:rPr>
        <w:t xml:space="preserve">we found considerable variation in the time children spent on </w:t>
      </w:r>
      <w:proofErr w:type="spellStart"/>
      <w:r>
        <w:rPr>
          <w:rFonts w:eastAsia="Calibri"/>
          <w:bCs/>
        </w:rPr>
        <w:t>iHMV</w:t>
      </w:r>
      <w:proofErr w:type="spellEnd"/>
      <w:r>
        <w:rPr>
          <w:rFonts w:eastAsia="Calibri"/>
          <w:bCs/>
        </w:rPr>
        <w:t xml:space="preserve">. Only half of </w:t>
      </w:r>
      <w:r w:rsidRPr="00590D92">
        <w:rPr>
          <w:iCs/>
        </w:rPr>
        <w:t xml:space="preserve">the population weaned off </w:t>
      </w:r>
      <w:proofErr w:type="spellStart"/>
      <w:r>
        <w:rPr>
          <w:iCs/>
        </w:rPr>
        <w:t>iHMV</w:t>
      </w:r>
      <w:proofErr w:type="spellEnd"/>
      <w:r w:rsidRPr="00590D92">
        <w:rPr>
          <w:iCs/>
        </w:rPr>
        <w:t xml:space="preserve"> </w:t>
      </w:r>
      <w:r>
        <w:rPr>
          <w:iCs/>
        </w:rPr>
        <w:t xml:space="preserve">after two years and about 10 percent weaned off </w:t>
      </w:r>
      <w:proofErr w:type="spellStart"/>
      <w:r>
        <w:rPr>
          <w:iCs/>
        </w:rPr>
        <w:t>iHMV</w:t>
      </w:r>
      <w:proofErr w:type="spellEnd"/>
      <w:r>
        <w:rPr>
          <w:iCs/>
        </w:rPr>
        <w:t xml:space="preserve"> after 4 years</w:t>
      </w:r>
      <w:r>
        <w:rPr>
          <w:rFonts w:eastAsia="Calibri"/>
          <w:bCs/>
        </w:rPr>
        <w:t>, which is consistent with other institution’s findings.</w:t>
      </w:r>
      <w:r w:rsidRPr="0071283F">
        <w:rPr>
          <w:rFonts w:eastAsia="Calibri"/>
          <w:bCs/>
          <w:noProof/>
          <w:vertAlign w:val="superscript"/>
        </w:rPr>
        <w:t xml:space="preserve"> 1,2,20,30</w:t>
      </w:r>
      <w:r>
        <w:rPr>
          <w:rFonts w:eastAsia="Calibri"/>
          <w:bCs/>
        </w:rPr>
        <w:t xml:space="preserve"> W</w:t>
      </w:r>
      <w:r w:rsidRPr="00DD33F4">
        <w:rPr>
          <w:rFonts w:eastAsia="Calibri"/>
          <w:bCs/>
        </w:rPr>
        <w:t>e</w:t>
      </w:r>
      <w:r>
        <w:rPr>
          <w:rFonts w:eastAsia="Calibri"/>
          <w:bCs/>
        </w:rPr>
        <w:t xml:space="preserve"> also</w:t>
      </w:r>
      <w:r w:rsidRPr="00DD33F4">
        <w:rPr>
          <w:rFonts w:eastAsia="Calibri"/>
          <w:bCs/>
        </w:rPr>
        <w:t xml:space="preserve"> found that </w:t>
      </w:r>
      <w:r>
        <w:rPr>
          <w:rFonts w:eastAsia="Calibri"/>
          <w:bCs/>
        </w:rPr>
        <w:t>children who were Hispanic/Latinx ethnicity were more likely to use</w:t>
      </w:r>
      <w:r w:rsidRPr="00DD33F4">
        <w:rPr>
          <w:rFonts w:eastAsia="Calibri"/>
          <w:bCs/>
        </w:rPr>
        <w:t xml:space="preserve"> </w:t>
      </w:r>
      <w:proofErr w:type="spellStart"/>
      <w:r w:rsidRPr="00DD33F4">
        <w:rPr>
          <w:rFonts w:eastAsia="Calibri"/>
          <w:bCs/>
        </w:rPr>
        <w:t>iHMV</w:t>
      </w:r>
      <w:proofErr w:type="spellEnd"/>
      <w:r>
        <w:rPr>
          <w:rFonts w:eastAsia="Calibri"/>
          <w:bCs/>
        </w:rPr>
        <w:t xml:space="preserve"> longer compared to non-Hispanic White patients as did those with higher corrected tracheostomy age in both univariable and multivariable models. Among the univariable analysis, other factors such as patient age at discharge and which pulmonologist managed their outpatient </w:t>
      </w:r>
      <w:proofErr w:type="spellStart"/>
      <w:r>
        <w:rPr>
          <w:rFonts w:eastAsia="Calibri"/>
          <w:bCs/>
        </w:rPr>
        <w:t>iHMV</w:t>
      </w:r>
      <w:proofErr w:type="spellEnd"/>
      <w:r>
        <w:rPr>
          <w:rFonts w:eastAsia="Calibri"/>
          <w:bCs/>
        </w:rPr>
        <w:t xml:space="preserve"> care were associated with </w:t>
      </w:r>
      <w:proofErr w:type="spellStart"/>
      <w:r>
        <w:rPr>
          <w:rFonts w:eastAsia="Calibri"/>
          <w:bCs/>
        </w:rPr>
        <w:t>iHMV</w:t>
      </w:r>
      <w:proofErr w:type="spellEnd"/>
      <w:r>
        <w:rPr>
          <w:rFonts w:eastAsia="Calibri"/>
          <w:bCs/>
        </w:rPr>
        <w:t xml:space="preserve"> duration. Several individual-level biologic factors such as biological sex, presence of pulmonary hypertension, presence of a complex congenital heart conditions, oxygen use, and length were not associated with the duration of </w:t>
      </w:r>
      <w:proofErr w:type="spellStart"/>
      <w:r>
        <w:rPr>
          <w:rFonts w:eastAsia="Calibri"/>
          <w:bCs/>
        </w:rPr>
        <w:t>iHMV</w:t>
      </w:r>
      <w:proofErr w:type="spellEnd"/>
      <w:r>
        <w:rPr>
          <w:rFonts w:eastAsia="Calibri"/>
          <w:bCs/>
        </w:rPr>
        <w:t xml:space="preserve">. </w:t>
      </w:r>
    </w:p>
    <w:p w14:paraId="3FDDBB44" w14:textId="77777777" w:rsidR="007E097D" w:rsidRDefault="007E097D" w:rsidP="008C56F2">
      <w:pPr>
        <w:spacing w:before="80" w:after="40" w:line="480" w:lineRule="auto"/>
        <w:ind w:firstLine="720"/>
        <w:contextualSpacing/>
        <w:rPr>
          <w:rFonts w:eastAsia="Calibri"/>
          <w:bCs/>
        </w:rPr>
      </w:pPr>
      <w:r>
        <w:rPr>
          <w:rFonts w:eastAsia="Calibri"/>
          <w:bCs/>
        </w:rPr>
        <w:t xml:space="preserve">Notable among these results is the presence of a healthcare disparity for Hispanic/Latinx patients. While we recognize that ethnicity is a social construct, structural barriers including bias and racism are known to play a role in access to health outcomes. This finding is consistent with a recent paper examining outcomes in infants with CLD that found that non-Hispanic White patients </w:t>
      </w:r>
      <w:r w:rsidRPr="0071283F">
        <w:rPr>
          <w:rFonts w:eastAsia="Calibri"/>
          <w:bCs/>
        </w:rPr>
        <w:t>liberated from the ventilator by 24 months of age and have public insurance had significantly greater odds of being decannulated by 48 months of age.</w:t>
      </w:r>
      <w:r w:rsidRPr="0071283F">
        <w:rPr>
          <w:rFonts w:eastAsia="Calibri"/>
          <w:bCs/>
          <w:noProof/>
          <w:vertAlign w:val="superscript"/>
        </w:rPr>
        <w:t xml:space="preserve"> 20</w:t>
      </w:r>
      <w:r w:rsidRPr="0071283F">
        <w:rPr>
          <w:rFonts w:eastAsia="Calibri"/>
          <w:bCs/>
        </w:rPr>
        <w:t xml:space="preserve"> </w:t>
      </w:r>
      <w:r>
        <w:rPr>
          <w:rFonts w:eastAsia="Calibri"/>
          <w:bCs/>
        </w:rPr>
        <w:t xml:space="preserve">While ethnicity is a different social variable than socioeconomic status, these findings are also consistent with a recent paper that found </w:t>
      </w:r>
      <w:r w:rsidRPr="00880B1B">
        <w:rPr>
          <w:rFonts w:eastAsia="Calibri"/>
          <w:bCs/>
        </w:rPr>
        <w:t xml:space="preserve">children </w:t>
      </w:r>
      <w:r>
        <w:rPr>
          <w:rFonts w:eastAsia="Calibri"/>
          <w:bCs/>
        </w:rPr>
        <w:t>from</w:t>
      </w:r>
      <w:r w:rsidRPr="00880B1B">
        <w:rPr>
          <w:rFonts w:eastAsia="Calibri"/>
          <w:bCs/>
        </w:rPr>
        <w:t xml:space="preserve"> lower socioeconomic groups</w:t>
      </w:r>
      <w:r w:rsidRPr="001429B9">
        <w:rPr>
          <w:rFonts w:eastAsia="Calibri"/>
          <w:bCs/>
        </w:rPr>
        <w:t xml:space="preserve"> </w:t>
      </w:r>
      <w:r>
        <w:rPr>
          <w:rFonts w:eastAsia="Calibri"/>
          <w:bCs/>
        </w:rPr>
        <w:t xml:space="preserve">use tracheostomy for </w:t>
      </w:r>
      <w:r w:rsidRPr="001429B9">
        <w:rPr>
          <w:rFonts w:eastAsia="Calibri"/>
          <w:bCs/>
        </w:rPr>
        <w:t xml:space="preserve">10 </w:t>
      </w:r>
      <w:proofErr w:type="gramStart"/>
      <w:r w:rsidRPr="001429B9">
        <w:rPr>
          <w:rFonts w:eastAsia="Calibri"/>
          <w:bCs/>
        </w:rPr>
        <w:t>month</w:t>
      </w:r>
      <w:proofErr w:type="gramEnd"/>
      <w:r>
        <w:rPr>
          <w:rFonts w:eastAsia="Calibri"/>
          <w:bCs/>
        </w:rPr>
        <w:t xml:space="preserve"> longer than children from higher socioeconomic groups</w:t>
      </w:r>
      <w:r w:rsidRPr="00880B1B">
        <w:rPr>
          <w:rFonts w:eastAsia="Calibri"/>
          <w:bCs/>
        </w:rPr>
        <w:t>.</w:t>
      </w:r>
      <w:r w:rsidRPr="000D49B6">
        <w:rPr>
          <w:rFonts w:eastAsia="Calibri"/>
          <w:bCs/>
          <w:noProof/>
          <w:vertAlign w:val="superscript"/>
        </w:rPr>
        <w:t xml:space="preserve"> 31</w:t>
      </w:r>
      <w:r>
        <w:rPr>
          <w:rFonts w:eastAsia="Calibri"/>
          <w:bCs/>
        </w:rPr>
        <w:t xml:space="preserve"> Together, these results suggest </w:t>
      </w:r>
      <w:r>
        <w:rPr>
          <w:rFonts w:eastAsia="Calibri"/>
          <w:bCs/>
        </w:rPr>
        <w:lastRenderedPageBreak/>
        <w:t xml:space="preserve">that even though children with CLD who use </w:t>
      </w:r>
      <w:proofErr w:type="spellStart"/>
      <w:r>
        <w:rPr>
          <w:rFonts w:eastAsia="Calibri"/>
          <w:bCs/>
        </w:rPr>
        <w:t>iHMV</w:t>
      </w:r>
      <w:proofErr w:type="spellEnd"/>
      <w:r>
        <w:rPr>
          <w:rFonts w:eastAsia="Calibri"/>
          <w:bCs/>
        </w:rPr>
        <w:t xml:space="preserve"> have complicated medical needs, social and health system factors still likely play </w:t>
      </w:r>
      <w:proofErr w:type="gramStart"/>
      <w:r>
        <w:rPr>
          <w:rFonts w:eastAsia="Calibri"/>
          <w:bCs/>
        </w:rPr>
        <w:t>an</w:t>
      </w:r>
      <w:proofErr w:type="gramEnd"/>
      <w:r>
        <w:rPr>
          <w:rFonts w:eastAsia="Calibri"/>
          <w:bCs/>
        </w:rPr>
        <w:t xml:space="preserve"> significant role in how long the children are using costly medical technologies. </w:t>
      </w:r>
    </w:p>
    <w:p w14:paraId="3865F01A" w14:textId="77777777" w:rsidR="007E097D" w:rsidRDefault="007E097D" w:rsidP="008C56F2">
      <w:pPr>
        <w:spacing w:before="80" w:after="40" w:line="480" w:lineRule="auto"/>
        <w:ind w:firstLine="720"/>
        <w:contextualSpacing/>
        <w:rPr>
          <w:rFonts w:eastAsia="Calibri"/>
          <w:bCs/>
        </w:rPr>
      </w:pPr>
      <w:r>
        <w:rPr>
          <w:rFonts w:eastAsia="Calibri"/>
          <w:bCs/>
        </w:rPr>
        <w:t>To what degree variation in these outcomes are modifiable remains uncertain</w:t>
      </w:r>
      <w:r w:rsidRPr="00BD25EF">
        <w:rPr>
          <w:rFonts w:eastAsia="Calibri"/>
          <w:bCs/>
        </w:rPr>
        <w:t>.</w:t>
      </w:r>
      <w:r>
        <w:rPr>
          <w:rFonts w:eastAsia="Calibri"/>
          <w:bCs/>
        </w:rPr>
        <w:t xml:space="preserve"> But, i</w:t>
      </w:r>
      <w:r w:rsidRPr="00BD25EF">
        <w:rPr>
          <w:rFonts w:eastAsia="Calibri"/>
          <w:bCs/>
        </w:rPr>
        <w:t>dentifying opportunities to</w:t>
      </w:r>
      <w:r>
        <w:rPr>
          <w:rFonts w:eastAsia="Calibri"/>
          <w:bCs/>
        </w:rPr>
        <w:t xml:space="preserve"> equitably</w:t>
      </w:r>
      <w:r w:rsidRPr="00BD25EF">
        <w:rPr>
          <w:rFonts w:eastAsia="Calibri"/>
          <w:bCs/>
        </w:rPr>
        <w:t xml:space="preserve"> </w:t>
      </w:r>
      <w:r>
        <w:rPr>
          <w:rFonts w:eastAsia="Calibri"/>
          <w:bCs/>
        </w:rPr>
        <w:t>improve</w:t>
      </w:r>
      <w:r w:rsidRPr="00BD25EF">
        <w:rPr>
          <w:rFonts w:eastAsia="Calibri"/>
          <w:bCs/>
        </w:rPr>
        <w:t xml:space="preserve"> modifiable factors that impact duration of </w:t>
      </w:r>
      <w:proofErr w:type="spellStart"/>
      <w:r>
        <w:rPr>
          <w:rFonts w:eastAsia="Calibri"/>
          <w:bCs/>
        </w:rPr>
        <w:t>iHMV</w:t>
      </w:r>
      <w:proofErr w:type="spellEnd"/>
      <w:r w:rsidRPr="00BD25EF">
        <w:rPr>
          <w:rFonts w:eastAsia="Calibri"/>
          <w:bCs/>
        </w:rPr>
        <w:t xml:space="preserve"> </w:t>
      </w:r>
      <w:r>
        <w:rPr>
          <w:rFonts w:eastAsia="Calibri"/>
          <w:bCs/>
        </w:rPr>
        <w:t>is</w:t>
      </w:r>
      <w:r w:rsidRPr="00BD25EF">
        <w:rPr>
          <w:rFonts w:eastAsia="Calibri"/>
          <w:bCs/>
        </w:rPr>
        <w:t xml:space="preserve"> increasing importance given new research</w:t>
      </w:r>
      <w:r>
        <w:rPr>
          <w:rFonts w:eastAsia="Calibri"/>
          <w:bCs/>
        </w:rPr>
        <w:t xml:space="preserve"> demonstrating the longer </w:t>
      </w:r>
      <w:proofErr w:type="spellStart"/>
      <w:r>
        <w:rPr>
          <w:rFonts w:eastAsia="Calibri"/>
          <w:bCs/>
        </w:rPr>
        <w:t>iHMV</w:t>
      </w:r>
      <w:proofErr w:type="spellEnd"/>
      <w:r>
        <w:rPr>
          <w:rFonts w:eastAsia="Calibri"/>
          <w:bCs/>
        </w:rPr>
        <w:t xml:space="preserve"> duration is a likely barrier to motor and language development</w:t>
      </w:r>
      <w:r w:rsidRPr="00E44CC4">
        <w:rPr>
          <w:rFonts w:eastAsia="Calibri"/>
          <w:bCs/>
        </w:rPr>
        <w:t>.</w:t>
      </w:r>
      <w:r w:rsidRPr="0071283F">
        <w:rPr>
          <w:rFonts w:eastAsia="Calibri"/>
          <w:bCs/>
          <w:noProof/>
          <w:vertAlign w:val="superscript"/>
        </w:rPr>
        <w:t xml:space="preserve"> 32</w:t>
      </w:r>
      <w:r>
        <w:rPr>
          <w:rFonts w:eastAsia="Calibri"/>
          <w:bCs/>
        </w:rPr>
        <w:t xml:space="preserve"> Concerted efforts are needed not only to safely reduce medically unnecessary </w:t>
      </w:r>
      <w:proofErr w:type="spellStart"/>
      <w:r>
        <w:rPr>
          <w:rFonts w:eastAsia="Calibri"/>
          <w:bCs/>
        </w:rPr>
        <w:t>iHMV</w:t>
      </w:r>
      <w:proofErr w:type="spellEnd"/>
      <w:r>
        <w:rPr>
          <w:rFonts w:eastAsia="Calibri"/>
          <w:bCs/>
        </w:rPr>
        <w:t xml:space="preserve"> use at home but also reduce the almost year long periods that children are spending awaiting hospital discharge.</w:t>
      </w:r>
      <w:r w:rsidRPr="00FA7AD4">
        <w:rPr>
          <w:rFonts w:eastAsia="Calibri"/>
          <w:bCs/>
          <w:noProof/>
          <w:vertAlign w:val="superscript"/>
        </w:rPr>
        <w:t xml:space="preserve"> 33,34</w:t>
      </w:r>
    </w:p>
    <w:p w14:paraId="39B8EB77" w14:textId="77777777" w:rsidR="007E097D" w:rsidRDefault="007E097D" w:rsidP="00FA7AD4">
      <w:pPr>
        <w:spacing w:line="480" w:lineRule="auto"/>
        <w:ind w:firstLine="720"/>
        <w:contextualSpacing/>
        <w:rPr>
          <w:rFonts w:eastAsia="Calibri"/>
          <w:bCs/>
          <w:shd w:val="clear" w:color="auto" w:fill="FFFFFF" w:themeFill="background1"/>
        </w:rPr>
      </w:pPr>
      <w:r>
        <w:rPr>
          <w:rFonts w:eastAsia="Calibri"/>
          <w:bCs/>
        </w:rPr>
        <w:t xml:space="preserve">Medical management prior to discharge, including standardizing the timing of the initiation of tracheostomy and ventilatory strategies are examples of modifiable opportunities to impact </w:t>
      </w:r>
      <w:proofErr w:type="spellStart"/>
      <w:r>
        <w:rPr>
          <w:rFonts w:eastAsia="Calibri"/>
          <w:bCs/>
        </w:rPr>
        <w:t>iHMV</w:t>
      </w:r>
      <w:proofErr w:type="spellEnd"/>
      <w:r>
        <w:rPr>
          <w:rFonts w:eastAsia="Calibri"/>
          <w:bCs/>
        </w:rPr>
        <w:t xml:space="preserve"> duration.</w:t>
      </w:r>
      <w:r w:rsidRPr="00FA7AD4">
        <w:rPr>
          <w:rFonts w:eastAsia="Calibri"/>
          <w:bCs/>
          <w:noProof/>
          <w:vertAlign w:val="superscript"/>
        </w:rPr>
        <w:t xml:space="preserve"> 35</w:t>
      </w:r>
      <w:r>
        <w:rPr>
          <w:shd w:val="clear" w:color="auto" w:fill="FFFFFF" w:themeFill="background1"/>
        </w:rPr>
        <w:t xml:space="preserve"> </w:t>
      </w:r>
      <w:proofErr w:type="gramStart"/>
      <w:r>
        <w:rPr>
          <w:shd w:val="clear" w:color="auto" w:fill="FFFFFF" w:themeFill="background1"/>
        </w:rPr>
        <w:t>N</w:t>
      </w:r>
      <w:r w:rsidRPr="009F6D5A">
        <w:rPr>
          <w:rFonts w:eastAsia="Calibri"/>
          <w:bCs/>
          <w:shd w:val="clear" w:color="auto" w:fill="FFFFFF" w:themeFill="background1"/>
        </w:rPr>
        <w:t>on-medical</w:t>
      </w:r>
      <w:proofErr w:type="gramEnd"/>
      <w:r w:rsidRPr="009F6D5A">
        <w:rPr>
          <w:rFonts w:eastAsia="Calibri"/>
          <w:bCs/>
          <w:shd w:val="clear" w:color="auto" w:fill="FFFFFF" w:themeFill="background1"/>
        </w:rPr>
        <w:t xml:space="preserve"> delays such as </w:t>
      </w:r>
      <w:r>
        <w:rPr>
          <w:rFonts w:eastAsia="Calibri"/>
          <w:bCs/>
          <w:shd w:val="clear" w:color="auto" w:fill="FFFFFF" w:themeFill="background1"/>
        </w:rPr>
        <w:t xml:space="preserve">the </w:t>
      </w:r>
      <w:r w:rsidRPr="009F6D5A">
        <w:rPr>
          <w:rFonts w:eastAsia="Calibri"/>
          <w:bCs/>
          <w:shd w:val="clear" w:color="auto" w:fill="FFFFFF" w:themeFill="background1"/>
        </w:rPr>
        <w:t>lack of home nursing</w:t>
      </w:r>
      <w:r w:rsidRPr="000D49B6">
        <w:rPr>
          <w:rFonts w:eastAsia="Calibri"/>
          <w:bCs/>
          <w:noProof/>
          <w:shd w:val="clear" w:color="auto" w:fill="FFFFFF" w:themeFill="background1"/>
          <w:vertAlign w:val="superscript"/>
        </w:rPr>
        <w:t>25</w:t>
      </w:r>
      <w:r w:rsidRPr="009F6D5A">
        <w:rPr>
          <w:rFonts w:eastAsia="Calibri"/>
          <w:bCs/>
          <w:shd w:val="clear" w:color="auto" w:fill="FFFFFF" w:themeFill="background1"/>
        </w:rPr>
        <w:t xml:space="preserve"> </w:t>
      </w:r>
      <w:r>
        <w:rPr>
          <w:rFonts w:eastAsia="Calibri"/>
          <w:bCs/>
          <w:shd w:val="clear" w:color="auto" w:fill="FFFFFF" w:themeFill="background1"/>
        </w:rPr>
        <w:t>and the need to</w:t>
      </w:r>
      <w:r w:rsidRPr="009F6D5A">
        <w:rPr>
          <w:rFonts w:eastAsia="Calibri"/>
          <w:bCs/>
          <w:shd w:val="clear" w:color="auto" w:fill="FFFFFF" w:themeFill="background1"/>
        </w:rPr>
        <w:t xml:space="preserve"> standardiz</w:t>
      </w:r>
      <w:r>
        <w:rPr>
          <w:rFonts w:eastAsia="Calibri"/>
          <w:bCs/>
          <w:shd w:val="clear" w:color="auto" w:fill="FFFFFF" w:themeFill="background1"/>
        </w:rPr>
        <w:t>e</w:t>
      </w:r>
      <w:r w:rsidRPr="009F6D5A">
        <w:rPr>
          <w:rFonts w:eastAsia="Calibri"/>
          <w:bCs/>
          <w:shd w:val="clear" w:color="auto" w:fill="FFFFFF" w:themeFill="background1"/>
        </w:rPr>
        <w:t xml:space="preserve"> workflows and hospital procedures </w:t>
      </w:r>
      <w:r>
        <w:rPr>
          <w:rFonts w:eastAsia="Calibri"/>
          <w:bCs/>
          <w:shd w:val="clear" w:color="auto" w:fill="FFFFFF" w:themeFill="background1"/>
        </w:rPr>
        <w:t>can be addressed through health service and policy interventions</w:t>
      </w:r>
      <w:r w:rsidRPr="009F6D5A">
        <w:rPr>
          <w:rFonts w:eastAsia="Calibri"/>
          <w:bCs/>
          <w:shd w:val="clear" w:color="auto" w:fill="FFFFFF" w:themeFill="background1"/>
        </w:rPr>
        <w:t>.</w:t>
      </w:r>
      <w:r w:rsidRPr="00FA7AD4">
        <w:rPr>
          <w:rFonts w:eastAsia="Calibri"/>
          <w:bCs/>
          <w:noProof/>
          <w:shd w:val="clear" w:color="auto" w:fill="FFFFFF" w:themeFill="background1"/>
          <w:vertAlign w:val="superscript"/>
        </w:rPr>
        <w:t xml:space="preserve"> 36</w:t>
      </w:r>
      <w:r>
        <w:rPr>
          <w:rFonts w:eastAsia="Calibri"/>
          <w:bCs/>
          <w:shd w:val="clear" w:color="auto" w:fill="FFFFFF" w:themeFill="background1"/>
        </w:rPr>
        <w:t xml:space="preserve"> With this in mind, it is not so surprising that children who are discharged later will be on the ventilator at home for shorter periods of time, if what kept them </w:t>
      </w:r>
      <w:proofErr w:type="gramStart"/>
      <w:r>
        <w:rPr>
          <w:rFonts w:eastAsia="Calibri"/>
          <w:bCs/>
          <w:shd w:val="clear" w:color="auto" w:fill="FFFFFF" w:themeFill="background1"/>
        </w:rPr>
        <w:t>hospitalized  were</w:t>
      </w:r>
      <w:proofErr w:type="gramEnd"/>
      <w:r>
        <w:rPr>
          <w:rFonts w:eastAsia="Calibri"/>
          <w:bCs/>
          <w:shd w:val="clear" w:color="auto" w:fill="FFFFFF" w:themeFill="background1"/>
        </w:rPr>
        <w:t xml:space="preserve"> the lack of social and health services as well medical considerations. </w:t>
      </w:r>
    </w:p>
    <w:p w14:paraId="062DFBCA" w14:textId="77777777" w:rsidR="007E097D" w:rsidRPr="00D60661" w:rsidRDefault="007E097D" w:rsidP="00D60661">
      <w:pPr>
        <w:spacing w:line="480" w:lineRule="auto"/>
        <w:ind w:firstLine="720"/>
        <w:contextualSpacing/>
        <w:rPr>
          <w:rFonts w:eastAsia="Calibri"/>
          <w:bCs/>
        </w:rPr>
      </w:pPr>
      <w:r>
        <w:rPr>
          <w:rFonts w:eastAsia="Calibri"/>
          <w:bCs/>
        </w:rPr>
        <w:t xml:space="preserve">Lastly, we also found that </w:t>
      </w:r>
      <w:r>
        <w:t>slightly less than 10%</w:t>
      </w:r>
      <w:r w:rsidRPr="0066684B">
        <w:t xml:space="preserve"> </w:t>
      </w:r>
      <w:r>
        <w:t xml:space="preserve">of patients died while home with </w:t>
      </w:r>
      <w:proofErr w:type="spellStart"/>
      <w:r>
        <w:t>iHMV</w:t>
      </w:r>
      <w:proofErr w:type="spellEnd"/>
      <w:r>
        <w:rPr>
          <w:rFonts w:eastAsia="Calibri"/>
          <w:bCs/>
        </w:rPr>
        <w:t xml:space="preserve">. Previous literature has identified ethical and logistical challenges providers and families face in discussing whether </w:t>
      </w:r>
      <w:proofErr w:type="spellStart"/>
      <w:r>
        <w:rPr>
          <w:rFonts w:eastAsia="Calibri"/>
          <w:bCs/>
        </w:rPr>
        <w:t>iHMV</w:t>
      </w:r>
      <w:proofErr w:type="spellEnd"/>
      <w:r>
        <w:rPr>
          <w:rFonts w:eastAsia="Calibri"/>
          <w:bCs/>
        </w:rPr>
        <w:t xml:space="preserve"> is the right medical choice for a given patient and their family.</w:t>
      </w:r>
      <w:r w:rsidRPr="00FA7AD4">
        <w:rPr>
          <w:rFonts w:eastAsia="Calibri"/>
          <w:bCs/>
          <w:noProof/>
          <w:vertAlign w:val="superscript"/>
        </w:rPr>
        <w:t xml:space="preserve"> 9,37-39</w:t>
      </w:r>
      <w:r>
        <w:rPr>
          <w:rFonts w:eastAsia="Calibri"/>
          <w:bCs/>
        </w:rPr>
        <w:t xml:space="preserve"> Understanding how an individual child’s medical profile may impact the duration they may use </w:t>
      </w:r>
      <w:proofErr w:type="spellStart"/>
      <w:r>
        <w:rPr>
          <w:rFonts w:eastAsia="Calibri"/>
          <w:bCs/>
        </w:rPr>
        <w:t>iHMV</w:t>
      </w:r>
      <w:proofErr w:type="spellEnd"/>
      <w:r>
        <w:rPr>
          <w:rFonts w:eastAsia="Calibri"/>
          <w:bCs/>
        </w:rPr>
        <w:t xml:space="preserve"> and their probability of death at home, may facilitate a conversation regarding expectations for </w:t>
      </w:r>
      <w:proofErr w:type="spellStart"/>
      <w:r>
        <w:rPr>
          <w:rFonts w:eastAsia="Calibri"/>
          <w:bCs/>
        </w:rPr>
        <w:t>iHMV</w:t>
      </w:r>
      <w:proofErr w:type="spellEnd"/>
      <w:r>
        <w:rPr>
          <w:rFonts w:eastAsia="Calibri"/>
          <w:bCs/>
        </w:rPr>
        <w:t xml:space="preserve"> duration and acknowledgement of the realistic possibility of death after discharge home. G</w:t>
      </w:r>
      <w:r w:rsidRPr="001429B9">
        <w:rPr>
          <w:rFonts w:eastAsia="Calibri"/>
          <w:bCs/>
        </w:rPr>
        <w:t xml:space="preserve">iven the incredible constraints placed </w:t>
      </w:r>
      <w:r>
        <w:rPr>
          <w:rFonts w:eastAsia="Calibri"/>
          <w:bCs/>
        </w:rPr>
        <w:t xml:space="preserve">on patients and families using </w:t>
      </w:r>
      <w:proofErr w:type="spellStart"/>
      <w:r>
        <w:rPr>
          <w:rFonts w:eastAsia="Calibri"/>
          <w:bCs/>
        </w:rPr>
        <w:t>iHMV</w:t>
      </w:r>
      <w:proofErr w:type="spellEnd"/>
      <w:r>
        <w:rPr>
          <w:rFonts w:eastAsia="Calibri"/>
          <w:bCs/>
        </w:rPr>
        <w:t xml:space="preserve">, </w:t>
      </w:r>
      <w:r>
        <w:rPr>
          <w:rFonts w:eastAsia="Calibri"/>
          <w:bCs/>
        </w:rPr>
        <w:lastRenderedPageBreak/>
        <w:t xml:space="preserve">the additional information provided in our study may further enrich these conversations by helping them more accurately prepare for and cope with the impact </w:t>
      </w:r>
      <w:proofErr w:type="spellStart"/>
      <w:r>
        <w:rPr>
          <w:rFonts w:eastAsia="Calibri"/>
          <w:bCs/>
        </w:rPr>
        <w:t>iHMV</w:t>
      </w:r>
      <w:proofErr w:type="spellEnd"/>
      <w:r>
        <w:rPr>
          <w:rFonts w:eastAsia="Calibri"/>
          <w:bCs/>
        </w:rPr>
        <w:t xml:space="preserve"> on their lives. </w:t>
      </w:r>
    </w:p>
    <w:p w14:paraId="2D2139C5" w14:textId="77777777" w:rsidR="007E097D" w:rsidRDefault="007E097D" w:rsidP="002A142F">
      <w:pPr>
        <w:spacing w:before="80" w:after="40"/>
        <w:contextualSpacing/>
        <w:rPr>
          <w:rFonts w:eastAsia="Calibri"/>
          <w:bCs/>
        </w:rPr>
      </w:pPr>
    </w:p>
    <w:p w14:paraId="6EB1F5AF" w14:textId="77777777" w:rsidR="007E097D" w:rsidRDefault="007E097D" w:rsidP="002A142F">
      <w:pPr>
        <w:pStyle w:val="Heading2"/>
        <w:spacing w:line="240" w:lineRule="auto"/>
      </w:pPr>
      <w:r>
        <w:t>Limitations and Future Work</w:t>
      </w:r>
    </w:p>
    <w:p w14:paraId="3C2B207A" w14:textId="77777777" w:rsidR="007E097D" w:rsidRPr="002A142F" w:rsidRDefault="007E097D" w:rsidP="002A142F"/>
    <w:p w14:paraId="5D89C35B" w14:textId="77777777" w:rsidR="007E097D" w:rsidRDefault="007E097D" w:rsidP="009F6D5A">
      <w:pPr>
        <w:spacing w:before="80" w:after="40" w:line="480" w:lineRule="auto"/>
        <w:ind w:firstLine="720"/>
        <w:contextualSpacing/>
        <w:rPr>
          <w:rFonts w:eastAsia="Calibri"/>
          <w:bCs/>
        </w:rPr>
      </w:pPr>
      <w:r>
        <w:rPr>
          <w:rFonts w:eastAsia="Calibri"/>
          <w:bCs/>
        </w:rPr>
        <w:t xml:space="preserve">As with any retrospective chart review, this approach had several limitations including missing data and historical bias due of removing patients who were cared for prior to electronic charting. </w:t>
      </w:r>
      <w:r w:rsidRPr="00FA7AD4">
        <w:rPr>
          <w:rFonts w:eastAsia="Calibri"/>
          <w:bCs/>
        </w:rPr>
        <w:t xml:space="preserve">Ventilator strategies and devices change over time which we were unable able to examine in this paper. </w:t>
      </w:r>
      <w:r>
        <w:rPr>
          <w:rFonts w:eastAsia="Calibri"/>
          <w:bCs/>
        </w:rPr>
        <w:t xml:space="preserve">For some of the relationships, the ability to detect differences was likely limited due to power. While we were able to examine whether the </w:t>
      </w:r>
      <w:r w:rsidRPr="009F6D5A">
        <w:rPr>
          <w:rFonts w:eastAsia="Calibri"/>
          <w:bCs/>
        </w:rPr>
        <w:t xml:space="preserve">presence of a co-morbidities was associated with </w:t>
      </w:r>
      <w:proofErr w:type="spellStart"/>
      <w:r w:rsidRPr="009F6D5A">
        <w:rPr>
          <w:rFonts w:eastAsia="Calibri"/>
          <w:bCs/>
        </w:rPr>
        <w:t>iHMV</w:t>
      </w:r>
      <w:proofErr w:type="spellEnd"/>
      <w:r w:rsidRPr="009F6D5A">
        <w:rPr>
          <w:rFonts w:eastAsia="Calibri"/>
          <w:bCs/>
        </w:rPr>
        <w:t xml:space="preserve"> duration, we did not account for severity of those co-morbidities. However, our introduction </w:t>
      </w:r>
      <w:r>
        <w:rPr>
          <w:rFonts w:eastAsia="Calibri"/>
          <w:bCs/>
        </w:rPr>
        <w:t xml:space="preserve">of the variables </w:t>
      </w:r>
      <w:r w:rsidRPr="009F6D5A">
        <w:rPr>
          <w:rFonts w:eastAsia="Calibri"/>
          <w:bCs/>
          <w:i/>
          <w:iCs/>
        </w:rPr>
        <w:t xml:space="preserve">corrected tracheostomy age </w:t>
      </w:r>
      <w:r w:rsidRPr="009F6D5A">
        <w:rPr>
          <w:rFonts w:eastAsia="Calibri"/>
          <w:bCs/>
        </w:rPr>
        <w:t xml:space="preserve">and </w:t>
      </w:r>
      <w:r w:rsidRPr="009F6D5A">
        <w:rPr>
          <w:rFonts w:eastAsia="Calibri"/>
          <w:bCs/>
          <w:i/>
          <w:iCs/>
        </w:rPr>
        <w:t>level of ventilator use</w:t>
      </w:r>
      <w:r w:rsidRPr="009F6D5A">
        <w:rPr>
          <w:rFonts w:eastAsia="Calibri"/>
          <w:bCs/>
        </w:rPr>
        <w:t xml:space="preserve"> provide </w:t>
      </w:r>
      <w:r>
        <w:rPr>
          <w:rFonts w:eastAsia="Calibri"/>
          <w:bCs/>
        </w:rPr>
        <w:t xml:space="preserve">new </w:t>
      </w:r>
      <w:r w:rsidRPr="009F6D5A">
        <w:rPr>
          <w:rFonts w:eastAsia="Calibri"/>
          <w:bCs/>
        </w:rPr>
        <w:t xml:space="preserve">opportunities to further study of variability in </w:t>
      </w:r>
      <w:proofErr w:type="spellStart"/>
      <w:r w:rsidRPr="009F6D5A">
        <w:rPr>
          <w:rFonts w:eastAsia="Calibri"/>
          <w:bCs/>
        </w:rPr>
        <w:t>iHMV</w:t>
      </w:r>
      <w:proofErr w:type="spellEnd"/>
      <w:r w:rsidRPr="009F6D5A">
        <w:rPr>
          <w:rFonts w:eastAsia="Calibri"/>
          <w:bCs/>
        </w:rPr>
        <w:t xml:space="preserve"> care. Future</w:t>
      </w:r>
      <w:r>
        <w:rPr>
          <w:rFonts w:eastAsia="Calibri"/>
          <w:bCs/>
        </w:rPr>
        <w:t xml:space="preserve"> multisite evaluations with higher power and more enriched medical variables may allow for exploration of more predictors with greater power. </w:t>
      </w:r>
    </w:p>
    <w:p w14:paraId="09186E80" w14:textId="77777777" w:rsidR="007E097D" w:rsidRDefault="007E097D" w:rsidP="002A142F">
      <w:pPr>
        <w:spacing w:before="80" w:after="40"/>
        <w:contextualSpacing/>
        <w:rPr>
          <w:rFonts w:eastAsia="Calibri"/>
          <w:b/>
        </w:rPr>
      </w:pPr>
    </w:p>
    <w:p w14:paraId="0953E252" w14:textId="77777777" w:rsidR="007E097D" w:rsidRPr="008D44F7" w:rsidRDefault="007E097D" w:rsidP="008D44F7">
      <w:pPr>
        <w:pStyle w:val="Heading1"/>
        <w:spacing w:line="240" w:lineRule="auto"/>
      </w:pPr>
      <w:r>
        <w:t>Conclusions</w:t>
      </w:r>
    </w:p>
    <w:p w14:paraId="721E11A4" w14:textId="77777777" w:rsidR="007E097D" w:rsidRDefault="007E097D" w:rsidP="001429B9">
      <w:pPr>
        <w:spacing w:line="480" w:lineRule="auto"/>
        <w:contextualSpacing/>
      </w:pPr>
    </w:p>
    <w:p w14:paraId="0697C714" w14:textId="77777777" w:rsidR="007E097D" w:rsidRDefault="007E097D" w:rsidP="006F0EDB">
      <w:pPr>
        <w:spacing w:line="480" w:lineRule="auto"/>
        <w:ind w:firstLine="720"/>
        <w:contextualSpacing/>
        <w:rPr>
          <w:rFonts w:eastAsiaTheme="majorEastAsia" w:cstheme="majorBidi"/>
          <w:b/>
          <w:color w:val="000000" w:themeColor="text1"/>
          <w:szCs w:val="32"/>
        </w:rPr>
      </w:pPr>
      <w:r w:rsidRPr="003D6568">
        <w:rPr>
          <w:rFonts w:eastAsia="Calibri"/>
          <w:bCs/>
        </w:rPr>
        <w:t xml:space="preserve">Children with CLD </w:t>
      </w:r>
      <w:r>
        <w:rPr>
          <w:rFonts w:eastAsia="Calibri"/>
          <w:bCs/>
        </w:rPr>
        <w:t>of</w:t>
      </w:r>
      <w:r w:rsidRPr="003D6568">
        <w:rPr>
          <w:rFonts w:eastAsia="Calibri"/>
          <w:bCs/>
        </w:rPr>
        <w:t xml:space="preserve"> prematurity who require </w:t>
      </w:r>
      <w:proofErr w:type="spellStart"/>
      <w:r>
        <w:rPr>
          <w:rFonts w:eastAsia="Calibri"/>
          <w:bCs/>
        </w:rPr>
        <w:t>i</w:t>
      </w:r>
      <w:r w:rsidRPr="003D6568">
        <w:rPr>
          <w:rFonts w:eastAsia="Calibri"/>
          <w:bCs/>
        </w:rPr>
        <w:t>HMV</w:t>
      </w:r>
      <w:proofErr w:type="spellEnd"/>
      <w:r w:rsidRPr="003D6568">
        <w:rPr>
          <w:rFonts w:eastAsia="Calibri"/>
          <w:bCs/>
        </w:rPr>
        <w:t xml:space="preserve"> are </w:t>
      </w:r>
      <w:r>
        <w:rPr>
          <w:rFonts w:eastAsia="Calibri"/>
          <w:bCs/>
        </w:rPr>
        <w:t>medically</w:t>
      </w:r>
      <w:r w:rsidRPr="003D6568">
        <w:rPr>
          <w:rFonts w:eastAsia="Calibri"/>
          <w:bCs/>
        </w:rPr>
        <w:t xml:space="preserve"> vulnerable patients </w:t>
      </w:r>
      <w:r>
        <w:rPr>
          <w:rFonts w:eastAsia="Calibri"/>
          <w:bCs/>
        </w:rPr>
        <w:t>who experience high</w:t>
      </w:r>
      <w:r w:rsidRPr="003D6568">
        <w:rPr>
          <w:rFonts w:eastAsia="Calibri"/>
          <w:bCs/>
        </w:rPr>
        <w:t xml:space="preserve"> family</w:t>
      </w:r>
      <w:r>
        <w:rPr>
          <w:rFonts w:eastAsia="Calibri"/>
          <w:bCs/>
        </w:rPr>
        <w:t xml:space="preserve"> caregiving</w:t>
      </w:r>
      <w:r w:rsidRPr="003D6568">
        <w:rPr>
          <w:rFonts w:eastAsia="Calibri"/>
          <w:bCs/>
        </w:rPr>
        <w:t xml:space="preserve"> and healthcare costs</w:t>
      </w:r>
      <w:r>
        <w:rPr>
          <w:rFonts w:eastAsia="Calibri"/>
          <w:bCs/>
        </w:rPr>
        <w:t>. I</w:t>
      </w:r>
      <w:r>
        <w:t xml:space="preserve">dentifying factors that impact duration of </w:t>
      </w:r>
      <w:proofErr w:type="spellStart"/>
      <w:r>
        <w:t>iHMV</w:t>
      </w:r>
      <w:proofErr w:type="spellEnd"/>
      <w:r>
        <w:t xml:space="preserve"> provides opportunities to mitigate </w:t>
      </w:r>
      <w:proofErr w:type="spellStart"/>
      <w:r>
        <w:t>iHMV’s</w:t>
      </w:r>
      <w:proofErr w:type="spellEnd"/>
      <w:r>
        <w:t xml:space="preserve"> impact on patients and families</w:t>
      </w:r>
      <w:r w:rsidRPr="001429B9">
        <w:t xml:space="preserve">. </w:t>
      </w:r>
      <w:r>
        <w:t xml:space="preserve">We found disparity in </w:t>
      </w:r>
      <w:proofErr w:type="spellStart"/>
      <w:r>
        <w:t>iHMV</w:t>
      </w:r>
      <w:proofErr w:type="spellEnd"/>
      <w:r>
        <w:t xml:space="preserve"> duration among children</w:t>
      </w:r>
      <w:r w:rsidRPr="008C56F2">
        <w:t xml:space="preserve"> using </w:t>
      </w:r>
      <w:proofErr w:type="spellStart"/>
      <w:r w:rsidRPr="008C56F2">
        <w:t>iHMV</w:t>
      </w:r>
      <w:proofErr w:type="spellEnd"/>
      <w:r w:rsidRPr="008C56F2">
        <w:t xml:space="preserve"> after prematurity, </w:t>
      </w:r>
      <w:r>
        <w:t>likely due to variability in both inpatient and outpatient management approaches</w:t>
      </w:r>
      <w:r w:rsidRPr="008C56F2">
        <w:t xml:space="preserve">. Prospective multisite studies that further elucidate </w:t>
      </w:r>
      <w:r>
        <w:t xml:space="preserve">which </w:t>
      </w:r>
      <w:r w:rsidRPr="008C56F2">
        <w:t xml:space="preserve">factors impact </w:t>
      </w:r>
      <w:proofErr w:type="spellStart"/>
      <w:r w:rsidRPr="008C56F2">
        <w:t>iHMV</w:t>
      </w:r>
      <w:proofErr w:type="spellEnd"/>
      <w:r w:rsidRPr="008C56F2">
        <w:t xml:space="preserve"> duration and that develop more standardized and equitable </w:t>
      </w:r>
      <w:proofErr w:type="spellStart"/>
      <w:r w:rsidRPr="008C56F2">
        <w:t>iHMV</w:t>
      </w:r>
      <w:proofErr w:type="spellEnd"/>
      <w:r w:rsidRPr="008C56F2">
        <w:t xml:space="preserve"> management strategies are needed.</w:t>
      </w:r>
      <w:r>
        <w:br w:type="page"/>
      </w:r>
    </w:p>
    <w:p w14:paraId="07BCFF8B" w14:textId="77777777" w:rsidR="007E097D" w:rsidRDefault="007E097D" w:rsidP="002A142F">
      <w:pPr>
        <w:pStyle w:val="Heading1"/>
        <w:spacing w:line="240" w:lineRule="auto"/>
      </w:pPr>
      <w:r>
        <w:lastRenderedPageBreak/>
        <w:t>References</w:t>
      </w:r>
    </w:p>
    <w:p w14:paraId="78A43097" w14:textId="77777777" w:rsidR="007E097D" w:rsidRDefault="007E097D" w:rsidP="002A142F">
      <w:pPr>
        <w:pStyle w:val="Heading1"/>
        <w:spacing w:line="240" w:lineRule="auto"/>
      </w:pPr>
    </w:p>
    <w:p w14:paraId="4DE8FA6E" w14:textId="77777777" w:rsidR="007E097D" w:rsidRPr="00FA7AD4" w:rsidRDefault="007E097D" w:rsidP="00FA7AD4">
      <w:pPr>
        <w:pStyle w:val="EndNoteBibliography"/>
        <w:spacing w:after="240"/>
        <w:rPr>
          <w:noProof/>
        </w:rPr>
      </w:pPr>
      <w:r w:rsidRPr="00FA7AD4">
        <w:rPr>
          <w:noProof/>
        </w:rPr>
        <w:t>1.</w:t>
      </w:r>
      <w:r w:rsidRPr="00FA7AD4">
        <w:rPr>
          <w:noProof/>
        </w:rPr>
        <w:tab/>
        <w:t xml:space="preserve">Cristea AI, Carroll AE, Davis SD, Swigonski NL, Ackerman VL. Outcomes of children with severe bronchopulmonary dysplasia who were ventilator dependent at home. </w:t>
      </w:r>
      <w:r w:rsidRPr="00FA7AD4">
        <w:rPr>
          <w:i/>
          <w:noProof/>
        </w:rPr>
        <w:t>Pediatrics</w:t>
      </w:r>
      <w:r w:rsidRPr="00FA7AD4">
        <w:rPr>
          <w:noProof/>
        </w:rPr>
        <w:t>. Sep 2013;132(3):e727-34. doi:10.1542/peds.2012-2990</w:t>
      </w:r>
    </w:p>
    <w:p w14:paraId="7DDC2540" w14:textId="77777777" w:rsidR="007E097D" w:rsidRPr="00FA7AD4" w:rsidRDefault="007E097D" w:rsidP="00FA7AD4">
      <w:pPr>
        <w:pStyle w:val="EndNoteBibliography"/>
        <w:spacing w:after="240"/>
        <w:rPr>
          <w:noProof/>
        </w:rPr>
      </w:pPr>
      <w:r w:rsidRPr="00FA7AD4">
        <w:rPr>
          <w:noProof/>
        </w:rPr>
        <w:t>2.</w:t>
      </w:r>
      <w:r w:rsidRPr="00FA7AD4">
        <w:rPr>
          <w:noProof/>
        </w:rPr>
        <w:tab/>
        <w:t xml:space="preserve">Amin R, Sayal P, Syed F, Chaves A, Moraes TJ, MacLusky I. Pediatric long-term home mechanical ventilation: twenty years of follow-up from one Canadian center. </w:t>
      </w:r>
      <w:r w:rsidRPr="00FA7AD4">
        <w:rPr>
          <w:i/>
          <w:noProof/>
        </w:rPr>
        <w:t>Pediatric pulmonology</w:t>
      </w:r>
      <w:r w:rsidRPr="00FA7AD4">
        <w:rPr>
          <w:noProof/>
        </w:rPr>
        <w:t>. Aug 2014;49(8):816-24. doi:10.1002/ppul.22868</w:t>
      </w:r>
    </w:p>
    <w:p w14:paraId="018DF98C" w14:textId="77777777" w:rsidR="007E097D" w:rsidRPr="00FA7AD4" w:rsidRDefault="007E097D" w:rsidP="00FA7AD4">
      <w:pPr>
        <w:pStyle w:val="EndNoteBibliography"/>
        <w:spacing w:after="240"/>
        <w:rPr>
          <w:noProof/>
        </w:rPr>
      </w:pPr>
      <w:r w:rsidRPr="00FA7AD4">
        <w:rPr>
          <w:noProof/>
        </w:rPr>
        <w:t>3.</w:t>
      </w:r>
      <w:r w:rsidRPr="00FA7AD4">
        <w:rPr>
          <w:noProof/>
        </w:rPr>
        <w:tab/>
        <w:t xml:space="preserve">McDougall CM, Adderley RJ, Wensley DF, Seear MD. Long-term ventilation in children: longitudinal trends and outcomes. </w:t>
      </w:r>
      <w:r w:rsidRPr="00FA7AD4">
        <w:rPr>
          <w:i/>
          <w:noProof/>
        </w:rPr>
        <w:t>Archives of disease in childhood</w:t>
      </w:r>
      <w:r w:rsidRPr="00FA7AD4">
        <w:rPr>
          <w:noProof/>
        </w:rPr>
        <w:t>. Sep 2013;98(9):660-5. doi:10.1136/archdischild-2012-303062</w:t>
      </w:r>
    </w:p>
    <w:p w14:paraId="3EAB158C" w14:textId="77777777" w:rsidR="007E097D" w:rsidRPr="00FA7AD4" w:rsidRDefault="007E097D" w:rsidP="00FA7AD4">
      <w:pPr>
        <w:pStyle w:val="EndNoteBibliography"/>
        <w:spacing w:after="240"/>
        <w:rPr>
          <w:noProof/>
        </w:rPr>
      </w:pPr>
      <w:r w:rsidRPr="00FA7AD4">
        <w:rPr>
          <w:noProof/>
        </w:rPr>
        <w:t>4.</w:t>
      </w:r>
      <w:r w:rsidRPr="00FA7AD4">
        <w:rPr>
          <w:noProof/>
        </w:rPr>
        <w:tab/>
        <w:t xml:space="preserve">Benneyworth BD, Gebremariam A, Clark SJ, Shanley TP, Davis MM. Inpatient health care utilization for children dependent on long-term mechanical ventilation. </w:t>
      </w:r>
      <w:r w:rsidRPr="00FA7AD4">
        <w:rPr>
          <w:i/>
          <w:noProof/>
        </w:rPr>
        <w:t>Pediatrics</w:t>
      </w:r>
      <w:r w:rsidRPr="00FA7AD4">
        <w:rPr>
          <w:noProof/>
        </w:rPr>
        <w:t>. Jun 2011;127(6):e1533-41. doi:10.1542/peds.2010-2026</w:t>
      </w:r>
    </w:p>
    <w:p w14:paraId="446683B6" w14:textId="77777777" w:rsidR="007E097D" w:rsidRPr="00FA7AD4" w:rsidRDefault="007E097D" w:rsidP="00FA7AD4">
      <w:pPr>
        <w:pStyle w:val="EndNoteBibliography"/>
        <w:spacing w:after="240"/>
        <w:rPr>
          <w:noProof/>
        </w:rPr>
      </w:pPr>
      <w:r w:rsidRPr="00FA7AD4">
        <w:rPr>
          <w:noProof/>
        </w:rPr>
        <w:t>5.</w:t>
      </w:r>
      <w:r w:rsidRPr="00FA7AD4">
        <w:rPr>
          <w:noProof/>
        </w:rPr>
        <w:tab/>
        <w:t xml:space="preserve">Gowans M, Keenan HT, Bratton SL. The population prevalence of children receiving invasive home ventilation in Utah. </w:t>
      </w:r>
      <w:r w:rsidRPr="00FA7AD4">
        <w:rPr>
          <w:i/>
          <w:noProof/>
        </w:rPr>
        <w:t>Pediatric pulmonology</w:t>
      </w:r>
      <w:r w:rsidRPr="00FA7AD4">
        <w:rPr>
          <w:noProof/>
        </w:rPr>
        <w:t>. Mar 2007;42(3):231-6. doi:10.1002/ppul.20558</w:t>
      </w:r>
    </w:p>
    <w:p w14:paraId="2BD7B8FB" w14:textId="77777777" w:rsidR="007E097D" w:rsidRPr="00FA7AD4" w:rsidRDefault="007E097D" w:rsidP="00FA7AD4">
      <w:pPr>
        <w:pStyle w:val="EndNoteBibliography"/>
        <w:spacing w:after="240"/>
        <w:rPr>
          <w:noProof/>
        </w:rPr>
      </w:pPr>
      <w:r w:rsidRPr="00FA7AD4">
        <w:rPr>
          <w:noProof/>
        </w:rPr>
        <w:t>6.</w:t>
      </w:r>
      <w:r w:rsidRPr="00FA7AD4">
        <w:rPr>
          <w:noProof/>
        </w:rPr>
        <w:tab/>
        <w:t xml:space="preserve">Wallis C, Paton JY, Beaton S, Jardine E. Children on long-term ventilatory support: 10 years of progress. </w:t>
      </w:r>
      <w:r w:rsidRPr="00FA7AD4">
        <w:rPr>
          <w:i/>
          <w:noProof/>
        </w:rPr>
        <w:t>Archives of disease in childhood</w:t>
      </w:r>
      <w:r w:rsidRPr="00FA7AD4">
        <w:rPr>
          <w:noProof/>
        </w:rPr>
        <w:t>. Nov 2011;96(11):998-1002. doi:10.1136/adc.2010.192864</w:t>
      </w:r>
    </w:p>
    <w:p w14:paraId="0DE04330" w14:textId="77777777" w:rsidR="007E097D" w:rsidRPr="00FA7AD4" w:rsidRDefault="007E097D" w:rsidP="00FA7AD4">
      <w:pPr>
        <w:pStyle w:val="EndNoteBibliography"/>
        <w:spacing w:after="240"/>
        <w:rPr>
          <w:noProof/>
        </w:rPr>
      </w:pPr>
      <w:r w:rsidRPr="00FA7AD4">
        <w:rPr>
          <w:noProof/>
        </w:rPr>
        <w:t>7.</w:t>
      </w:r>
      <w:r w:rsidRPr="00FA7AD4">
        <w:rPr>
          <w:noProof/>
        </w:rPr>
        <w:tab/>
        <w:t xml:space="preserve">Paulides FM, Plotz FB, Verweij-van den Oudenrijn LP, van Gestel JP, Kampelmacher MJ. Thirty years of home mechanical ventilation in children: escalating need for pediatric intensive care beds. </w:t>
      </w:r>
      <w:r w:rsidRPr="00FA7AD4">
        <w:rPr>
          <w:i/>
          <w:noProof/>
        </w:rPr>
        <w:t>Intensive care medicine</w:t>
      </w:r>
      <w:r w:rsidRPr="00FA7AD4">
        <w:rPr>
          <w:noProof/>
        </w:rPr>
        <w:t>. May 2012;38(5):847-52. doi:10.1007/s00134-012-2545-9</w:t>
      </w:r>
    </w:p>
    <w:p w14:paraId="6F7E3F48" w14:textId="77777777" w:rsidR="007E097D" w:rsidRPr="00FA7AD4" w:rsidRDefault="007E097D" w:rsidP="00FA7AD4">
      <w:pPr>
        <w:pStyle w:val="EndNoteBibliography"/>
        <w:spacing w:after="240"/>
        <w:rPr>
          <w:noProof/>
        </w:rPr>
      </w:pPr>
      <w:r w:rsidRPr="00FA7AD4">
        <w:rPr>
          <w:noProof/>
        </w:rPr>
        <w:t>8.</w:t>
      </w:r>
      <w:r w:rsidRPr="00FA7AD4">
        <w:rPr>
          <w:noProof/>
        </w:rPr>
        <w:tab/>
        <w:t xml:space="preserve">Hsia SH, Lin JJ, Huang IA, Wu CT. Outcome of long-term mechanical ventilation support in children. </w:t>
      </w:r>
      <w:r w:rsidRPr="00FA7AD4">
        <w:rPr>
          <w:i/>
          <w:noProof/>
        </w:rPr>
        <w:t>Pediatrics and neonatology</w:t>
      </w:r>
      <w:r w:rsidRPr="00FA7AD4">
        <w:rPr>
          <w:noProof/>
        </w:rPr>
        <w:t>. Oct 2012;53(5):304-8. doi:10.1016/j.pedneo.2012.07.005</w:t>
      </w:r>
    </w:p>
    <w:p w14:paraId="594EABDC" w14:textId="77777777" w:rsidR="007E097D" w:rsidRPr="00FA7AD4" w:rsidRDefault="007E097D" w:rsidP="00FA7AD4">
      <w:pPr>
        <w:pStyle w:val="EndNoteBibliography"/>
        <w:spacing w:after="240"/>
        <w:rPr>
          <w:noProof/>
        </w:rPr>
      </w:pPr>
      <w:r w:rsidRPr="00FA7AD4">
        <w:rPr>
          <w:noProof/>
        </w:rPr>
        <w:t>9.</w:t>
      </w:r>
      <w:r w:rsidRPr="00FA7AD4">
        <w:rPr>
          <w:noProof/>
        </w:rPr>
        <w:tab/>
        <w:t xml:space="preserve">Rahman M, Jeffreys J, Massie J. A narrative review of the experience and decision-making for children on home mechanical ventilation. </w:t>
      </w:r>
      <w:r w:rsidRPr="00FA7AD4">
        <w:rPr>
          <w:i/>
          <w:noProof/>
        </w:rPr>
        <w:t>Journal of paediatrics and child health</w:t>
      </w:r>
      <w:r w:rsidRPr="00FA7AD4">
        <w:rPr>
          <w:noProof/>
        </w:rPr>
        <w:t>. Jun 2021;57(6):791-796. doi:10.1111/jpc.15506</w:t>
      </w:r>
    </w:p>
    <w:p w14:paraId="3A23F6C1" w14:textId="77777777" w:rsidR="007E097D" w:rsidRPr="00FA7AD4" w:rsidRDefault="007E097D" w:rsidP="00FA7AD4">
      <w:pPr>
        <w:pStyle w:val="EndNoteBibliography"/>
        <w:spacing w:after="240"/>
        <w:rPr>
          <w:noProof/>
        </w:rPr>
      </w:pPr>
      <w:r w:rsidRPr="00FA7AD4">
        <w:rPr>
          <w:noProof/>
        </w:rPr>
        <w:t>10.</w:t>
      </w:r>
      <w:r w:rsidRPr="00FA7AD4">
        <w:rPr>
          <w:noProof/>
        </w:rPr>
        <w:tab/>
        <w:t xml:space="preserve">Meltzer LJ, Sanchez-Ortuno MJ, Edinger JD, Avis KT. Sleep patterns, sleep instability, and health related quality of life in parents of ventilator-assisted children. </w:t>
      </w:r>
      <w:r w:rsidRPr="00FA7AD4">
        <w:rPr>
          <w:i/>
          <w:noProof/>
        </w:rPr>
        <w:t>Journal of clinical sleep medicine : JCSM : official publication of the American Academy of Sleep Medicine</w:t>
      </w:r>
      <w:r w:rsidRPr="00FA7AD4">
        <w:rPr>
          <w:noProof/>
        </w:rPr>
        <w:t>. Mar 15 2015;11(3):251-8. doi:10.5664/jcsm.4538</w:t>
      </w:r>
    </w:p>
    <w:p w14:paraId="10BE302B" w14:textId="77777777" w:rsidR="007E097D" w:rsidRPr="00FA7AD4" w:rsidRDefault="007E097D" w:rsidP="00FA7AD4">
      <w:pPr>
        <w:pStyle w:val="EndNoteBibliography"/>
        <w:spacing w:after="240"/>
        <w:rPr>
          <w:noProof/>
        </w:rPr>
      </w:pPr>
      <w:r w:rsidRPr="00FA7AD4">
        <w:rPr>
          <w:noProof/>
        </w:rPr>
        <w:t>11.</w:t>
      </w:r>
      <w:r w:rsidRPr="00FA7AD4">
        <w:rPr>
          <w:noProof/>
        </w:rPr>
        <w:tab/>
        <w:t xml:space="preserve">Keilty K, Cohen E, Spalding K, Pullenayegum E, Stremler R. Sleep disturbance in family caregivers of children who depend on medical technology. </w:t>
      </w:r>
      <w:r w:rsidRPr="00FA7AD4">
        <w:rPr>
          <w:i/>
          <w:noProof/>
        </w:rPr>
        <w:t>Archives of disease in childhood</w:t>
      </w:r>
      <w:r w:rsidRPr="00FA7AD4">
        <w:rPr>
          <w:noProof/>
        </w:rPr>
        <w:t>. Feb 2018;103(2):137-142. doi:10.1136/archdischild-2016-312205</w:t>
      </w:r>
    </w:p>
    <w:p w14:paraId="6B4AA43B" w14:textId="77777777" w:rsidR="007E097D" w:rsidRPr="00FA7AD4" w:rsidRDefault="007E097D" w:rsidP="00FA7AD4">
      <w:pPr>
        <w:pStyle w:val="EndNoteBibliography"/>
        <w:spacing w:after="240"/>
        <w:rPr>
          <w:noProof/>
        </w:rPr>
      </w:pPr>
      <w:r w:rsidRPr="00FA7AD4">
        <w:rPr>
          <w:noProof/>
        </w:rPr>
        <w:lastRenderedPageBreak/>
        <w:t>12.</w:t>
      </w:r>
      <w:r w:rsidRPr="00FA7AD4">
        <w:rPr>
          <w:noProof/>
        </w:rPr>
        <w:tab/>
        <w:t xml:space="preserve">Meltzer LJ, Boroughs DS, Downes JJ. The relationship between home nursing coverage, sleep, and daytime functioning in parents of ventilator-assisted children. </w:t>
      </w:r>
      <w:r w:rsidRPr="00FA7AD4">
        <w:rPr>
          <w:i/>
          <w:noProof/>
        </w:rPr>
        <w:t>Journal of pediatric nursing</w:t>
      </w:r>
      <w:r w:rsidRPr="00FA7AD4">
        <w:rPr>
          <w:noProof/>
        </w:rPr>
        <w:t>. Aug 2010;25(4):250-7. doi:10.1016/j.pedn.2009.01.007</w:t>
      </w:r>
    </w:p>
    <w:p w14:paraId="298B57A2" w14:textId="77777777" w:rsidR="007E097D" w:rsidRPr="00FA7AD4" w:rsidRDefault="007E097D" w:rsidP="00FA7AD4">
      <w:pPr>
        <w:pStyle w:val="EndNoteBibliography"/>
        <w:spacing w:after="240"/>
        <w:rPr>
          <w:noProof/>
        </w:rPr>
      </w:pPr>
      <w:r w:rsidRPr="00FA7AD4">
        <w:rPr>
          <w:noProof/>
        </w:rPr>
        <w:t>13.</w:t>
      </w:r>
      <w:r w:rsidRPr="00FA7AD4">
        <w:rPr>
          <w:noProof/>
        </w:rPr>
        <w:tab/>
        <w:t xml:space="preserve">Feeley CA, Turner-Henson A, Christian BJ, et al. Sleep quality, stress, caregiver burden, and quality of life in maternal caregivers of young children with bronchopulmonary dysplasia. </w:t>
      </w:r>
      <w:r w:rsidRPr="00FA7AD4">
        <w:rPr>
          <w:i/>
          <w:noProof/>
        </w:rPr>
        <w:t>Journal of pediatric nursing</w:t>
      </w:r>
      <w:r w:rsidRPr="00FA7AD4">
        <w:rPr>
          <w:noProof/>
        </w:rPr>
        <w:t>. Jan-Feb 2014;29(1):29-38. doi:10.1016/j.pedn.2013.08.001</w:t>
      </w:r>
    </w:p>
    <w:p w14:paraId="61ADA06A" w14:textId="77777777" w:rsidR="007E097D" w:rsidRPr="00FA7AD4" w:rsidRDefault="007E097D" w:rsidP="00FA7AD4">
      <w:pPr>
        <w:pStyle w:val="EndNoteBibliography"/>
        <w:spacing w:after="240"/>
        <w:rPr>
          <w:noProof/>
        </w:rPr>
      </w:pPr>
      <w:r w:rsidRPr="00FA7AD4">
        <w:rPr>
          <w:noProof/>
        </w:rPr>
        <w:t>14.</w:t>
      </w:r>
      <w:r w:rsidRPr="00FA7AD4">
        <w:rPr>
          <w:noProof/>
        </w:rPr>
        <w:tab/>
        <w:t xml:space="preserve">Fields AI, Rosenblatt A, Pollack MM, Kaufman J. Home care cost-effectiveness for respiratory technology-dependent children. </w:t>
      </w:r>
      <w:r w:rsidRPr="00FA7AD4">
        <w:rPr>
          <w:i/>
          <w:noProof/>
        </w:rPr>
        <w:t>American journal of diseases of children (1960)</w:t>
      </w:r>
      <w:r w:rsidRPr="00FA7AD4">
        <w:rPr>
          <w:noProof/>
        </w:rPr>
        <w:t xml:space="preserve">. Jul 1991;145(7):729-33. </w:t>
      </w:r>
    </w:p>
    <w:p w14:paraId="5CEFF60C" w14:textId="77777777" w:rsidR="007E097D" w:rsidRPr="00FA7AD4" w:rsidRDefault="007E097D" w:rsidP="00FA7AD4">
      <w:pPr>
        <w:pStyle w:val="EndNoteBibliography"/>
        <w:spacing w:after="240"/>
        <w:rPr>
          <w:noProof/>
        </w:rPr>
      </w:pPr>
      <w:r w:rsidRPr="00FA7AD4">
        <w:rPr>
          <w:noProof/>
        </w:rPr>
        <w:t>15.</w:t>
      </w:r>
      <w:r w:rsidRPr="00FA7AD4">
        <w:rPr>
          <w:noProof/>
        </w:rPr>
        <w:tab/>
        <w:t xml:space="preserve">Hazlett DE. A study of pediatric home ventilator management: medical, psychosocial, and financial aspects. </w:t>
      </w:r>
      <w:r w:rsidRPr="00FA7AD4">
        <w:rPr>
          <w:i/>
          <w:noProof/>
        </w:rPr>
        <w:t>Journal of pediatric nursing</w:t>
      </w:r>
      <w:r w:rsidRPr="00FA7AD4">
        <w:rPr>
          <w:noProof/>
        </w:rPr>
        <w:t xml:space="preserve">. Aug 1989;4(4):284-94. </w:t>
      </w:r>
    </w:p>
    <w:p w14:paraId="7CBF07A4" w14:textId="77777777" w:rsidR="007E097D" w:rsidRPr="00FA7AD4" w:rsidRDefault="007E097D" w:rsidP="00FA7AD4">
      <w:pPr>
        <w:pStyle w:val="EndNoteBibliography"/>
        <w:spacing w:after="240"/>
        <w:rPr>
          <w:noProof/>
        </w:rPr>
      </w:pPr>
      <w:r w:rsidRPr="00FA7AD4">
        <w:rPr>
          <w:noProof/>
        </w:rPr>
        <w:t>16.</w:t>
      </w:r>
      <w:r w:rsidRPr="00FA7AD4">
        <w:rPr>
          <w:noProof/>
        </w:rPr>
        <w:tab/>
        <w:t xml:space="preserve">McPherson ML, Shekerdemian L, Goldsworthy M, et al. A decade of pediatric tracheostomies: Indications, outcomes, and long-term prognosis. </w:t>
      </w:r>
      <w:r w:rsidRPr="00FA7AD4">
        <w:rPr>
          <w:i/>
          <w:noProof/>
        </w:rPr>
        <w:t>Pediatric pulmonology</w:t>
      </w:r>
      <w:r w:rsidRPr="00FA7AD4">
        <w:rPr>
          <w:noProof/>
        </w:rPr>
        <w:t>. Jul 2017;52(7):946-953. doi:10.1002/ppul.23657</w:t>
      </w:r>
    </w:p>
    <w:p w14:paraId="47952440" w14:textId="77777777" w:rsidR="007E097D" w:rsidRPr="00FA7AD4" w:rsidRDefault="007E097D" w:rsidP="00FA7AD4">
      <w:pPr>
        <w:pStyle w:val="EndNoteBibliography"/>
        <w:spacing w:after="240"/>
        <w:rPr>
          <w:noProof/>
        </w:rPr>
      </w:pPr>
      <w:r w:rsidRPr="00FA7AD4">
        <w:rPr>
          <w:noProof/>
        </w:rPr>
        <w:t>17.</w:t>
      </w:r>
      <w:r w:rsidRPr="00FA7AD4">
        <w:rPr>
          <w:noProof/>
        </w:rPr>
        <w:tab/>
        <w:t xml:space="preserve">Edwards JD, Kun SS, Keens TG. Outcomes and causes of death in children on home mechanical ventilation via tracheostomy: an institutional and literature review. </w:t>
      </w:r>
      <w:r w:rsidRPr="00FA7AD4">
        <w:rPr>
          <w:i/>
          <w:noProof/>
        </w:rPr>
        <w:t>J Pediatr</w:t>
      </w:r>
      <w:r w:rsidRPr="00FA7AD4">
        <w:rPr>
          <w:noProof/>
        </w:rPr>
        <w:t>. Dec 2010;157(6):955-959.e2. doi:10.1016/j.jpeds.2010.06.012</w:t>
      </w:r>
    </w:p>
    <w:p w14:paraId="3F9C86E3" w14:textId="77777777" w:rsidR="007E097D" w:rsidRPr="00FA7AD4" w:rsidRDefault="007E097D" w:rsidP="00FA7AD4">
      <w:pPr>
        <w:pStyle w:val="EndNoteBibliography"/>
        <w:spacing w:after="240"/>
        <w:rPr>
          <w:noProof/>
        </w:rPr>
      </w:pPr>
      <w:r w:rsidRPr="00FA7AD4">
        <w:rPr>
          <w:noProof/>
        </w:rPr>
        <w:t>18.</w:t>
      </w:r>
      <w:r w:rsidRPr="00FA7AD4">
        <w:rPr>
          <w:noProof/>
        </w:rPr>
        <w:tab/>
        <w:t xml:space="preserve">Rogerson CM, Beardsley AL, Nitu ME, Cristea AI. Health Care Resource Utilization for Children Requiring Prolonged Mechanical Ventilation via Tracheostomy. </w:t>
      </w:r>
      <w:r w:rsidRPr="00FA7AD4">
        <w:rPr>
          <w:i/>
          <w:noProof/>
        </w:rPr>
        <w:t>Respiratory care</w:t>
      </w:r>
      <w:r w:rsidRPr="00FA7AD4">
        <w:rPr>
          <w:noProof/>
        </w:rPr>
        <w:t>. Feb 4 2020;doi:10.4187/respcare.07342</w:t>
      </w:r>
    </w:p>
    <w:p w14:paraId="72EF91EC" w14:textId="77777777" w:rsidR="007E097D" w:rsidRPr="00FA7AD4" w:rsidRDefault="007E097D" w:rsidP="00FA7AD4">
      <w:pPr>
        <w:pStyle w:val="EndNoteBibliography"/>
        <w:spacing w:after="240"/>
        <w:rPr>
          <w:noProof/>
        </w:rPr>
      </w:pPr>
      <w:r w:rsidRPr="00FA7AD4">
        <w:rPr>
          <w:noProof/>
        </w:rPr>
        <w:t>19.</w:t>
      </w:r>
      <w:r w:rsidRPr="00FA7AD4">
        <w:rPr>
          <w:noProof/>
        </w:rPr>
        <w:tab/>
        <w:t xml:space="preserve">Henningfeld JK, Maletta K, Ren B, Richards KL, Wegner C, D'Andrea LA. Liberation from home mechanical ventilation and decannulation in children. </w:t>
      </w:r>
      <w:r w:rsidRPr="00FA7AD4">
        <w:rPr>
          <w:i/>
          <w:noProof/>
        </w:rPr>
        <w:t>Pediatric pulmonology</w:t>
      </w:r>
      <w:r w:rsidRPr="00FA7AD4">
        <w:rPr>
          <w:noProof/>
        </w:rPr>
        <w:t>. Aug 2016;51(8):838-49. doi:10.1002/ppul.23396</w:t>
      </w:r>
    </w:p>
    <w:p w14:paraId="6BBDF44E" w14:textId="77777777" w:rsidR="007E097D" w:rsidRPr="00FA7AD4" w:rsidRDefault="007E097D" w:rsidP="00FA7AD4">
      <w:pPr>
        <w:pStyle w:val="EndNoteBibliography"/>
        <w:spacing w:after="240"/>
        <w:rPr>
          <w:noProof/>
        </w:rPr>
      </w:pPr>
      <w:r w:rsidRPr="00FA7AD4">
        <w:rPr>
          <w:noProof/>
        </w:rPr>
        <w:t>20.</w:t>
      </w:r>
      <w:r w:rsidRPr="00FA7AD4">
        <w:rPr>
          <w:noProof/>
        </w:rPr>
        <w:tab/>
        <w:t xml:space="preserve">Akangire G, Lachica C, Noel-MacDonnell J, et al. Outcomes of infants with severe bronchopulmonary dysplasia who received tracheostomy and home ventilation. </w:t>
      </w:r>
      <w:r w:rsidRPr="00FA7AD4">
        <w:rPr>
          <w:i/>
          <w:noProof/>
        </w:rPr>
        <w:t>Pediatric pulmonology</w:t>
      </w:r>
      <w:r w:rsidRPr="00FA7AD4">
        <w:rPr>
          <w:noProof/>
        </w:rPr>
        <w:t>. Nov 14 2022;doi:10.1002/ppul.26248</w:t>
      </w:r>
    </w:p>
    <w:p w14:paraId="715251FD" w14:textId="77777777" w:rsidR="007E097D" w:rsidRPr="00FA7AD4" w:rsidRDefault="007E097D" w:rsidP="00FA7AD4">
      <w:pPr>
        <w:pStyle w:val="EndNoteBibliography"/>
        <w:spacing w:after="240"/>
        <w:rPr>
          <w:noProof/>
        </w:rPr>
      </w:pPr>
      <w:r w:rsidRPr="00FA7AD4">
        <w:rPr>
          <w:noProof/>
        </w:rPr>
        <w:t>21.</w:t>
      </w:r>
      <w:r w:rsidRPr="00FA7AD4">
        <w:rPr>
          <w:noProof/>
        </w:rPr>
        <w:tab/>
        <w:t xml:space="preserve">Baker CD. Mechanical Ventilation During Chronic Lung Disease. </w:t>
      </w:r>
      <w:r w:rsidRPr="00FA7AD4">
        <w:rPr>
          <w:i/>
          <w:noProof/>
        </w:rPr>
        <w:t>Clin Perinatol</w:t>
      </w:r>
      <w:r w:rsidRPr="00FA7AD4">
        <w:rPr>
          <w:noProof/>
        </w:rPr>
        <w:t>. Dec 2021;48(4):881-893. doi:10.1016/j.clp.2021.08.004</w:t>
      </w:r>
    </w:p>
    <w:p w14:paraId="7E204846" w14:textId="77777777" w:rsidR="007E097D" w:rsidRPr="00FA7AD4" w:rsidRDefault="007E097D" w:rsidP="00FA7AD4">
      <w:pPr>
        <w:pStyle w:val="EndNoteBibliography"/>
        <w:spacing w:after="240"/>
        <w:rPr>
          <w:noProof/>
        </w:rPr>
      </w:pPr>
      <w:r w:rsidRPr="00FA7AD4">
        <w:rPr>
          <w:noProof/>
        </w:rPr>
        <w:t>22.</w:t>
      </w:r>
      <w:r w:rsidRPr="00FA7AD4">
        <w:rPr>
          <w:noProof/>
        </w:rPr>
        <w:tab/>
        <w:t xml:space="preserve">Collaco JM, Agarwal A, Austin ED, et al. Characteristics of infants or children presenting to outpatient bronchopulmonary dysplasia clinics in the United States. </w:t>
      </w:r>
      <w:r w:rsidRPr="00FA7AD4">
        <w:rPr>
          <w:i/>
          <w:noProof/>
        </w:rPr>
        <w:t>Pediatric pulmonology</w:t>
      </w:r>
      <w:r w:rsidRPr="00FA7AD4">
        <w:rPr>
          <w:noProof/>
        </w:rPr>
        <w:t>. Jun 2021;56(6):1617-1625. doi:10.1002/ppul.25332</w:t>
      </w:r>
    </w:p>
    <w:p w14:paraId="37819EE4" w14:textId="77777777" w:rsidR="007E097D" w:rsidRPr="00FA7AD4" w:rsidRDefault="007E097D" w:rsidP="00FA7AD4">
      <w:pPr>
        <w:pStyle w:val="EndNoteBibliography"/>
        <w:spacing w:after="240"/>
        <w:rPr>
          <w:noProof/>
        </w:rPr>
      </w:pPr>
      <w:r w:rsidRPr="00FA7AD4">
        <w:rPr>
          <w:noProof/>
        </w:rPr>
        <w:t>23.</w:t>
      </w:r>
      <w:r w:rsidRPr="00FA7AD4">
        <w:rPr>
          <w:noProof/>
        </w:rPr>
        <w:tab/>
        <w:t xml:space="preserve">Harris PA, Taylor R, Thielke R, Payne J, Gonzalez N, Conde JG. Research electronic data capture (REDCap)--a metadata-driven methodology and workflow process for providing translational research informatics support. </w:t>
      </w:r>
      <w:r w:rsidRPr="00FA7AD4">
        <w:rPr>
          <w:i/>
          <w:noProof/>
        </w:rPr>
        <w:t>J Biomed Inform</w:t>
      </w:r>
      <w:r w:rsidRPr="00FA7AD4">
        <w:rPr>
          <w:noProof/>
        </w:rPr>
        <w:t>. Apr 2009;42(2):377-81. doi:10.1016/j.jbi.2008.08.010</w:t>
      </w:r>
    </w:p>
    <w:p w14:paraId="02B9553E" w14:textId="77777777" w:rsidR="007E097D" w:rsidRPr="00FA7AD4" w:rsidRDefault="007E097D" w:rsidP="00FA7AD4">
      <w:pPr>
        <w:pStyle w:val="EndNoteBibliography"/>
        <w:spacing w:after="240"/>
        <w:rPr>
          <w:noProof/>
        </w:rPr>
      </w:pPr>
      <w:r w:rsidRPr="00FA7AD4">
        <w:rPr>
          <w:noProof/>
        </w:rPr>
        <w:lastRenderedPageBreak/>
        <w:t>24.</w:t>
      </w:r>
      <w:r w:rsidRPr="00FA7AD4">
        <w:rPr>
          <w:noProof/>
        </w:rPr>
        <w:tab/>
        <w:t xml:space="preserve">Arnegard ME, Whitten LA, Hunter C, Clayton JA. Sex as a Biological Variable: A 5-Year Progress Report and Call to Action. </w:t>
      </w:r>
      <w:r w:rsidRPr="00FA7AD4">
        <w:rPr>
          <w:i/>
          <w:noProof/>
        </w:rPr>
        <w:t>J Womens Health (Larchmt)</w:t>
      </w:r>
      <w:r w:rsidRPr="00FA7AD4">
        <w:rPr>
          <w:noProof/>
        </w:rPr>
        <w:t>. Jun 2020;29(6):858-864. doi:10.1089/jwh.2019.8247</w:t>
      </w:r>
    </w:p>
    <w:p w14:paraId="1B07D8C8" w14:textId="77777777" w:rsidR="007E097D" w:rsidRPr="00FA7AD4" w:rsidRDefault="007E097D" w:rsidP="00FA7AD4">
      <w:pPr>
        <w:pStyle w:val="EndNoteBibliography"/>
        <w:spacing w:after="240"/>
        <w:rPr>
          <w:noProof/>
        </w:rPr>
      </w:pPr>
      <w:r w:rsidRPr="00FA7AD4">
        <w:rPr>
          <w:noProof/>
        </w:rPr>
        <w:t>25.</w:t>
      </w:r>
      <w:r w:rsidRPr="00FA7AD4">
        <w:rPr>
          <w:noProof/>
        </w:rPr>
        <w:tab/>
        <w:t xml:space="preserve">Sobotka SA FC, Lynch E, Hird-McCorry L, Goodman DM. Attributable Delay of Discharge for Children with Long-term Mechanical Ventilation. </w:t>
      </w:r>
      <w:r w:rsidRPr="00FA7AD4">
        <w:rPr>
          <w:i/>
          <w:noProof/>
        </w:rPr>
        <w:t>J Pediatr</w:t>
      </w:r>
      <w:r w:rsidRPr="00FA7AD4">
        <w:rPr>
          <w:noProof/>
        </w:rPr>
        <w:t>. 2019;</w:t>
      </w:r>
    </w:p>
    <w:p w14:paraId="17143F69" w14:textId="77777777" w:rsidR="007E097D" w:rsidRPr="00FA7AD4" w:rsidRDefault="007E097D" w:rsidP="00FA7AD4">
      <w:pPr>
        <w:pStyle w:val="EndNoteBibliography"/>
        <w:spacing w:after="240"/>
        <w:rPr>
          <w:noProof/>
        </w:rPr>
      </w:pPr>
      <w:r w:rsidRPr="00FA7AD4">
        <w:rPr>
          <w:noProof/>
        </w:rPr>
        <w:t>26.</w:t>
      </w:r>
      <w:r w:rsidRPr="00FA7AD4">
        <w:rPr>
          <w:noProof/>
        </w:rPr>
        <w:tab/>
        <w:t xml:space="preserve">Thomson JE, Feinstein JA, Hall M, Gay JC, Butts B, Berry JG. Identification of Children With High-Intensity Neurological Impairment. </w:t>
      </w:r>
      <w:r w:rsidRPr="00FA7AD4">
        <w:rPr>
          <w:i/>
          <w:noProof/>
        </w:rPr>
        <w:t>JAMA Pediatr</w:t>
      </w:r>
      <w:r w:rsidRPr="00FA7AD4">
        <w:rPr>
          <w:noProof/>
        </w:rPr>
        <w:t>. Oct 1 2019;173(10):989-991. doi:10.1001/jamapediatrics.2019.2672</w:t>
      </w:r>
    </w:p>
    <w:p w14:paraId="7ED165F3" w14:textId="4DE661A1" w:rsidR="007E097D" w:rsidRPr="00FA7AD4" w:rsidRDefault="007E097D" w:rsidP="00FA7AD4">
      <w:pPr>
        <w:pStyle w:val="EndNoteBibliography"/>
        <w:spacing w:after="240"/>
        <w:rPr>
          <w:noProof/>
        </w:rPr>
      </w:pPr>
      <w:r w:rsidRPr="00FA7AD4">
        <w:rPr>
          <w:noProof/>
        </w:rPr>
        <w:t>27.</w:t>
      </w:r>
      <w:r w:rsidRPr="00FA7AD4">
        <w:rPr>
          <w:noProof/>
        </w:rPr>
        <w:tab/>
        <w:t xml:space="preserve">High Intensity Neurologic Impairment Codes Toolkit. Childrens Hospial Association. Updated Published March 6, 2019. </w:t>
      </w:r>
      <w:r w:rsidRPr="007E097D">
        <w:rPr>
          <w:rFonts w:eastAsia="Calibri"/>
          <w:noProof/>
        </w:rPr>
        <w:t>https://www.childrenshospitals.org/content/analytics/toolkit/high-intensity-neurologic-impairment-codes</w:t>
      </w:r>
      <w:r w:rsidR="00374996">
        <w:rPr>
          <w:rFonts w:eastAsia="Calibri"/>
          <w:noProof/>
        </w:rPr>
        <w:t>.</w:t>
      </w:r>
    </w:p>
    <w:p w14:paraId="42410E11" w14:textId="77777777" w:rsidR="007E097D" w:rsidRPr="00FA7AD4" w:rsidRDefault="007E097D" w:rsidP="00FA7AD4">
      <w:pPr>
        <w:pStyle w:val="EndNoteBibliography"/>
        <w:spacing w:after="240"/>
        <w:rPr>
          <w:noProof/>
        </w:rPr>
      </w:pPr>
      <w:r w:rsidRPr="00FA7AD4">
        <w:rPr>
          <w:noProof/>
        </w:rPr>
        <w:t>28.</w:t>
      </w:r>
      <w:r w:rsidRPr="00FA7AD4">
        <w:rPr>
          <w:noProof/>
        </w:rPr>
        <w:tab/>
        <w:t xml:space="preserve">Mahle WT, Newburger JW, Matherne GP, et al. Role of Pulse Oximetry in Examining Newborns for Congenital Heart Disease: A Scientific Statement from the AHA and AAP. </w:t>
      </w:r>
      <w:r w:rsidRPr="00FA7AD4">
        <w:rPr>
          <w:i/>
          <w:noProof/>
        </w:rPr>
        <w:t>Pediatrics</w:t>
      </w:r>
      <w:r w:rsidRPr="00FA7AD4">
        <w:rPr>
          <w:noProof/>
        </w:rPr>
        <w:t>. 2009;124(2):823-836. doi:10.1542/peds.2009-1397</w:t>
      </w:r>
    </w:p>
    <w:p w14:paraId="54C58681" w14:textId="77777777" w:rsidR="007E097D" w:rsidRPr="00FA7AD4" w:rsidRDefault="007E097D" w:rsidP="00FA7AD4">
      <w:pPr>
        <w:pStyle w:val="EndNoteBibliography"/>
        <w:spacing w:after="240"/>
        <w:rPr>
          <w:noProof/>
        </w:rPr>
      </w:pPr>
      <w:r w:rsidRPr="00FA7AD4">
        <w:rPr>
          <w:noProof/>
        </w:rPr>
        <w:t>29.</w:t>
      </w:r>
      <w:r w:rsidRPr="00FA7AD4">
        <w:rPr>
          <w:noProof/>
        </w:rPr>
        <w:tab/>
        <w:t xml:space="preserve">National Center on Birth Defects and Developmental Disabilities CfDCaP. Centers for Disease Control, U.S. Department of Health &amp; Human Services. Accessed Accessed May 23, 2022, </w:t>
      </w:r>
      <w:r w:rsidRPr="007E097D">
        <w:rPr>
          <w:rFonts w:eastAsia="Calibri"/>
          <w:noProof/>
        </w:rPr>
        <w:t>https://www.cdc.gov/ncbddd/heartdefects/cchd-facts.html</w:t>
      </w:r>
    </w:p>
    <w:p w14:paraId="38C5E505" w14:textId="77777777" w:rsidR="007E097D" w:rsidRPr="00FA7AD4" w:rsidRDefault="007E097D" w:rsidP="00FA7AD4">
      <w:pPr>
        <w:pStyle w:val="EndNoteBibliography"/>
        <w:spacing w:after="240"/>
        <w:rPr>
          <w:noProof/>
        </w:rPr>
      </w:pPr>
      <w:r w:rsidRPr="00FA7AD4">
        <w:rPr>
          <w:noProof/>
        </w:rPr>
        <w:t>30.</w:t>
      </w:r>
      <w:r w:rsidRPr="00FA7AD4">
        <w:rPr>
          <w:noProof/>
        </w:rPr>
        <w:tab/>
        <w:t xml:space="preserve">Cristea AI, Baker CD. Ventilator weaning and tracheostomy decannulation in children: More than one way. </w:t>
      </w:r>
      <w:r w:rsidRPr="00FA7AD4">
        <w:rPr>
          <w:i/>
          <w:noProof/>
        </w:rPr>
        <w:t>Pediatric pulmonology</w:t>
      </w:r>
      <w:r w:rsidRPr="00FA7AD4">
        <w:rPr>
          <w:noProof/>
        </w:rPr>
        <w:t>. Aug 2016;51(8):773-4. doi:10.1002/ppul.23418</w:t>
      </w:r>
    </w:p>
    <w:p w14:paraId="1AEFC8B6" w14:textId="77777777" w:rsidR="007E097D" w:rsidRPr="00FA7AD4" w:rsidRDefault="007E097D" w:rsidP="00FA7AD4">
      <w:pPr>
        <w:pStyle w:val="EndNoteBibliography"/>
        <w:spacing w:after="240"/>
        <w:rPr>
          <w:noProof/>
        </w:rPr>
      </w:pPr>
      <w:r w:rsidRPr="00FA7AD4">
        <w:rPr>
          <w:noProof/>
        </w:rPr>
        <w:t>31.</w:t>
      </w:r>
      <w:r w:rsidRPr="00FA7AD4">
        <w:rPr>
          <w:noProof/>
        </w:rPr>
        <w:tab/>
        <w:t xml:space="preserve">Smith MM, Hart CK, Benscoter DT, et al. The Impact of Socioeconomic Status on Time to Decannulation Among Children With Tracheostomies. </w:t>
      </w:r>
      <w:r w:rsidRPr="00FA7AD4">
        <w:rPr>
          <w:i/>
          <w:noProof/>
        </w:rPr>
        <w:t>Otolaryngol Head Neck Surg</w:t>
      </w:r>
      <w:r w:rsidRPr="00FA7AD4">
        <w:rPr>
          <w:noProof/>
        </w:rPr>
        <w:t>. Dec 2021;165(6):876-880. doi:10.1177/0194599820988501</w:t>
      </w:r>
    </w:p>
    <w:p w14:paraId="7BF3A410" w14:textId="77777777" w:rsidR="007E097D" w:rsidRPr="00FA7AD4" w:rsidRDefault="007E097D" w:rsidP="00FA7AD4">
      <w:pPr>
        <w:pStyle w:val="EndNoteBibliography"/>
        <w:spacing w:after="240"/>
        <w:rPr>
          <w:noProof/>
        </w:rPr>
      </w:pPr>
      <w:r w:rsidRPr="00FA7AD4">
        <w:rPr>
          <w:noProof/>
        </w:rPr>
        <w:t>32.</w:t>
      </w:r>
      <w:r w:rsidRPr="00FA7AD4">
        <w:rPr>
          <w:noProof/>
        </w:rPr>
        <w:tab/>
        <w:t xml:space="preserve">Sobotka SA, Agrawal RK, Msall ME. Prolonged Hospital Discharge for Children with Technology Dependency: A Source of Health Care Disparities. </w:t>
      </w:r>
      <w:r w:rsidRPr="00FA7AD4">
        <w:rPr>
          <w:i/>
          <w:noProof/>
        </w:rPr>
        <w:t>Pediatric annals</w:t>
      </w:r>
      <w:r w:rsidRPr="00FA7AD4">
        <w:rPr>
          <w:noProof/>
        </w:rPr>
        <w:t>. Oct 1 2017;46(10):e365-e370. doi:10.3928/19382359-20170919-01</w:t>
      </w:r>
    </w:p>
    <w:p w14:paraId="4CE9F19F" w14:textId="77777777" w:rsidR="007E097D" w:rsidRPr="00FA7AD4" w:rsidRDefault="007E097D" w:rsidP="00FA7AD4">
      <w:pPr>
        <w:pStyle w:val="EndNoteBibliography"/>
        <w:spacing w:after="240"/>
        <w:rPr>
          <w:noProof/>
        </w:rPr>
      </w:pPr>
      <w:r w:rsidRPr="00FA7AD4">
        <w:rPr>
          <w:noProof/>
        </w:rPr>
        <w:t>33.</w:t>
      </w:r>
      <w:r w:rsidRPr="00FA7AD4">
        <w:rPr>
          <w:noProof/>
        </w:rPr>
        <w:tab/>
        <w:t xml:space="preserve">Sobotka SA, Foster C, Lynch E, Hird-McCorry L, Goodman DM. Attributable Delay of Discharge for Children with Long-Term Mechanical Ventilation. </w:t>
      </w:r>
      <w:r w:rsidRPr="00FA7AD4">
        <w:rPr>
          <w:i/>
          <w:noProof/>
        </w:rPr>
        <w:t>Journal of Pediatrics</w:t>
      </w:r>
      <w:r w:rsidRPr="00FA7AD4">
        <w:rPr>
          <w:noProof/>
        </w:rPr>
        <w:t>. 2019;212:166-171. doi:10.1016/j.jpeds.2019.04.034</w:t>
      </w:r>
    </w:p>
    <w:p w14:paraId="45E74BAF" w14:textId="77777777" w:rsidR="007E097D" w:rsidRPr="00FA7AD4" w:rsidRDefault="007E097D" w:rsidP="00FA7AD4">
      <w:pPr>
        <w:pStyle w:val="EndNoteBibliography"/>
        <w:spacing w:after="240"/>
        <w:rPr>
          <w:noProof/>
        </w:rPr>
      </w:pPr>
      <w:r w:rsidRPr="00FA7AD4">
        <w:rPr>
          <w:noProof/>
        </w:rPr>
        <w:t>34.</w:t>
      </w:r>
      <w:r w:rsidRPr="00FA7AD4">
        <w:rPr>
          <w:noProof/>
        </w:rPr>
        <w:tab/>
        <w:t xml:space="preserve">Maynard R, Christensen E, Cady R, et al. Home Health Care Availability and Discharge Delays in Children With Medical Complexity. </w:t>
      </w:r>
      <w:r w:rsidRPr="00FA7AD4">
        <w:rPr>
          <w:i/>
          <w:noProof/>
        </w:rPr>
        <w:t>Pediatrics</w:t>
      </w:r>
      <w:r w:rsidRPr="00FA7AD4">
        <w:rPr>
          <w:noProof/>
        </w:rPr>
        <w:t>. Jan 2019;143(1)doi:10.1542/peds.2018-1951</w:t>
      </w:r>
    </w:p>
    <w:p w14:paraId="554F5A21" w14:textId="77777777" w:rsidR="007E097D" w:rsidRPr="00FA7AD4" w:rsidRDefault="007E097D" w:rsidP="00FA7AD4">
      <w:pPr>
        <w:pStyle w:val="EndNoteBibliography"/>
        <w:spacing w:after="240"/>
        <w:rPr>
          <w:noProof/>
        </w:rPr>
      </w:pPr>
      <w:r w:rsidRPr="00FA7AD4">
        <w:rPr>
          <w:noProof/>
        </w:rPr>
        <w:t>35.</w:t>
      </w:r>
      <w:r w:rsidRPr="00FA7AD4">
        <w:rPr>
          <w:noProof/>
        </w:rPr>
        <w:tab/>
        <w:t xml:space="preserve">McKinney RL, Napolitano N, Levin JJ, et al. Ventilatory Strategies in Infants with Established Severe Bronchopulmonary Dysplasia: A Multicenter Point Prevalence Study. </w:t>
      </w:r>
      <w:r w:rsidRPr="00FA7AD4">
        <w:rPr>
          <w:i/>
          <w:noProof/>
        </w:rPr>
        <w:t>J Pediatr</w:t>
      </w:r>
      <w:r w:rsidRPr="00FA7AD4">
        <w:rPr>
          <w:noProof/>
        </w:rPr>
        <w:t>. Mar 2022;242:248-252.e1. doi:10.1016/j.jpeds.2021.10.036</w:t>
      </w:r>
    </w:p>
    <w:p w14:paraId="604190DC" w14:textId="77777777" w:rsidR="007E097D" w:rsidRPr="00FA7AD4" w:rsidRDefault="007E097D" w:rsidP="00FA7AD4">
      <w:pPr>
        <w:pStyle w:val="EndNoteBibliography"/>
        <w:spacing w:after="240"/>
        <w:rPr>
          <w:noProof/>
        </w:rPr>
      </w:pPr>
      <w:r w:rsidRPr="00FA7AD4">
        <w:rPr>
          <w:noProof/>
        </w:rPr>
        <w:lastRenderedPageBreak/>
        <w:t>36.</w:t>
      </w:r>
      <w:r w:rsidRPr="00FA7AD4">
        <w:rPr>
          <w:noProof/>
        </w:rPr>
        <w:tab/>
        <w:t xml:space="preserve">Baker CD, Martin S, Thrasher J, et al. A Standardized Discharge Process Decreases Length of Stay for Ventilator-Dependent Children. </w:t>
      </w:r>
      <w:r w:rsidRPr="00FA7AD4">
        <w:rPr>
          <w:i/>
          <w:noProof/>
        </w:rPr>
        <w:t>Pediatrics</w:t>
      </w:r>
      <w:r w:rsidRPr="00FA7AD4">
        <w:rPr>
          <w:noProof/>
        </w:rPr>
        <w:t>. Apr 2016;137(4)doi:10.1542/peds.2015-0637</w:t>
      </w:r>
    </w:p>
    <w:p w14:paraId="4E5F1ED7" w14:textId="77777777" w:rsidR="007E097D" w:rsidRPr="00FA7AD4" w:rsidRDefault="007E097D" w:rsidP="00FA7AD4">
      <w:pPr>
        <w:pStyle w:val="EndNoteBibliography"/>
        <w:spacing w:after="240"/>
        <w:rPr>
          <w:noProof/>
        </w:rPr>
      </w:pPr>
      <w:r w:rsidRPr="00FA7AD4">
        <w:rPr>
          <w:noProof/>
        </w:rPr>
        <w:t>37.</w:t>
      </w:r>
      <w:r w:rsidRPr="00FA7AD4">
        <w:rPr>
          <w:noProof/>
        </w:rPr>
        <w:tab/>
        <w:t xml:space="preserve">Jabre NA, Raisanen JC, Shipman KJ, Henderson CM, Boss RD, Wilfond BS. Parent perspectives on facilitating decision-making around pediatric home ventilation. </w:t>
      </w:r>
      <w:r w:rsidRPr="00FA7AD4">
        <w:rPr>
          <w:i/>
          <w:noProof/>
        </w:rPr>
        <w:t>Pediatric pulmonology</w:t>
      </w:r>
      <w:r w:rsidRPr="00FA7AD4">
        <w:rPr>
          <w:noProof/>
        </w:rPr>
        <w:t>. Feb 2022;57(2):567-575. doi:10.1002/ppul.25749</w:t>
      </w:r>
    </w:p>
    <w:p w14:paraId="322EEC8E" w14:textId="77777777" w:rsidR="007E097D" w:rsidRPr="00FA7AD4" w:rsidRDefault="007E097D" w:rsidP="00FA7AD4">
      <w:pPr>
        <w:pStyle w:val="EndNoteBibliography"/>
        <w:spacing w:after="240"/>
        <w:rPr>
          <w:noProof/>
        </w:rPr>
      </w:pPr>
      <w:r w:rsidRPr="00FA7AD4">
        <w:rPr>
          <w:noProof/>
        </w:rPr>
        <w:t>38.</w:t>
      </w:r>
      <w:r w:rsidRPr="00FA7AD4">
        <w:rPr>
          <w:noProof/>
        </w:rPr>
        <w:tab/>
        <w:t xml:space="preserve">Henderson CM, Raisanen JC, Shipman KJ, Jabre NA, Wilfond BS, Boss RD. Life with pediatric home ventilation: Expectations versus experience. </w:t>
      </w:r>
      <w:r w:rsidRPr="00FA7AD4">
        <w:rPr>
          <w:i/>
          <w:noProof/>
        </w:rPr>
        <w:t>Pediatric pulmonology</w:t>
      </w:r>
      <w:r w:rsidRPr="00FA7AD4">
        <w:rPr>
          <w:noProof/>
        </w:rPr>
        <w:t>. Oct 2021;56(10):3366-3373. doi:10.1002/ppul.25577</w:t>
      </w:r>
    </w:p>
    <w:p w14:paraId="4D35E43E" w14:textId="77777777" w:rsidR="007E097D" w:rsidRPr="00FA7AD4" w:rsidRDefault="007E097D" w:rsidP="00FA7AD4">
      <w:pPr>
        <w:pStyle w:val="EndNoteBibliography"/>
        <w:rPr>
          <w:noProof/>
        </w:rPr>
      </w:pPr>
      <w:r w:rsidRPr="00FA7AD4">
        <w:rPr>
          <w:noProof/>
        </w:rPr>
        <w:t>39.</w:t>
      </w:r>
      <w:r w:rsidRPr="00FA7AD4">
        <w:rPr>
          <w:noProof/>
        </w:rPr>
        <w:tab/>
        <w:t xml:space="preserve">Boss RD, Henderson CM, Raisanen JC, Jabre NA, Shipman K, Wilfond BS. Family Experiences Deciding For and Against Pediatric Home Ventilation. </w:t>
      </w:r>
      <w:r w:rsidRPr="00FA7AD4">
        <w:rPr>
          <w:i/>
          <w:noProof/>
        </w:rPr>
        <w:t>J Pediatr</w:t>
      </w:r>
      <w:r w:rsidRPr="00FA7AD4">
        <w:rPr>
          <w:noProof/>
        </w:rPr>
        <w:t>. Feb 2021;229:223-231. doi:10.1016/j.jpeds.2020.10.014</w:t>
      </w:r>
    </w:p>
    <w:p w14:paraId="27820481" w14:textId="77777777" w:rsidR="007E097D" w:rsidRDefault="007E097D" w:rsidP="002A142F">
      <w:pPr>
        <w:contextualSpacing/>
        <w:rPr>
          <w:rFonts w:eastAsia="Calibri"/>
        </w:rPr>
      </w:pPr>
    </w:p>
    <w:p w14:paraId="41F38482" w14:textId="77777777" w:rsidR="007E097D" w:rsidRDefault="007E097D" w:rsidP="002A142F">
      <w:pPr>
        <w:contextualSpacing/>
        <w:rPr>
          <w:rFonts w:eastAsia="Calibri"/>
        </w:rPr>
      </w:pPr>
    </w:p>
    <w:p w14:paraId="362F392F" w14:textId="77777777" w:rsidR="007E097D" w:rsidRDefault="007E097D">
      <w:pPr>
        <w:spacing w:line="259" w:lineRule="auto"/>
        <w:rPr>
          <w:rFonts w:eastAsiaTheme="majorEastAsia" w:cstheme="majorBidi"/>
          <w:b/>
          <w:color w:val="000000" w:themeColor="text1"/>
          <w:szCs w:val="32"/>
        </w:rPr>
      </w:pPr>
      <w:r>
        <w:br w:type="page"/>
      </w:r>
    </w:p>
    <w:p w14:paraId="4CB17E44" w14:textId="77777777" w:rsidR="007E097D" w:rsidRDefault="007E097D" w:rsidP="008271B4">
      <w:pPr>
        <w:pStyle w:val="Heading1"/>
        <w:spacing w:line="240" w:lineRule="auto"/>
        <w:sectPr w:rsidR="007E097D" w:rsidSect="00141284">
          <w:footerReference w:type="even" r:id="rId6"/>
          <w:footerReference w:type="default" r:id="rId7"/>
          <w:pgSz w:w="12240" w:h="15840"/>
          <w:pgMar w:top="1440" w:right="1440" w:bottom="1440" w:left="1440" w:header="720" w:footer="720" w:gutter="0"/>
          <w:cols w:space="720"/>
          <w:docGrid w:linePitch="360"/>
        </w:sectPr>
      </w:pPr>
    </w:p>
    <w:p w14:paraId="5045C766" w14:textId="77777777" w:rsidR="007E097D" w:rsidRDefault="007E097D" w:rsidP="0036240C">
      <w:pPr>
        <w:pStyle w:val="Heading1"/>
        <w:spacing w:line="240" w:lineRule="auto"/>
        <w:ind w:left="-720"/>
      </w:pPr>
      <w:r>
        <w:lastRenderedPageBreak/>
        <w:t>Appendix A</w:t>
      </w:r>
      <w:r w:rsidRPr="008F5AAE">
        <w:t>.</w:t>
      </w:r>
      <w:r w:rsidRPr="003D6568">
        <w:t xml:space="preserve"> </w:t>
      </w:r>
      <w:r w:rsidRPr="008F5AAE">
        <w:rPr>
          <w:b w:val="0"/>
          <w:bCs/>
        </w:rPr>
        <w:t>Timeline Framework for Children with Chronic Lung Disease of Prematurity Requiring Invasive Home Mechanical Ventilation</w:t>
      </w:r>
      <w:r w:rsidRPr="003D6568">
        <w:t xml:space="preserve"> </w:t>
      </w:r>
    </w:p>
    <w:p w14:paraId="1FFF85F3" w14:textId="77777777" w:rsidR="007E097D" w:rsidRDefault="007E097D" w:rsidP="0036240C">
      <w:pPr>
        <w:ind w:left="-720"/>
        <w:contextualSpacing/>
        <w:rPr>
          <w:rFonts w:eastAsia="Calibri"/>
        </w:rPr>
      </w:pPr>
    </w:p>
    <w:p w14:paraId="28C2725A" w14:textId="77777777" w:rsidR="007E097D" w:rsidRPr="003D6568" w:rsidRDefault="007E097D" w:rsidP="0036240C">
      <w:pPr>
        <w:ind w:left="-720"/>
        <w:contextualSpacing/>
        <w:rPr>
          <w:rFonts w:eastAsia="Calibri"/>
        </w:rPr>
      </w:pPr>
      <w:r>
        <w:rPr>
          <w:rFonts w:eastAsia="Calibri"/>
        </w:rPr>
        <w:t>Figure shows a representative timeline of a child born prematurely requiring home mechanical ventilation from birth through decannulation. The focus of this study was area shown in shaded square, from initial discharge home with invasive mechanical ventilation until complete cessation of positive pressure ventilation during the night and day.</w:t>
      </w:r>
    </w:p>
    <w:p w14:paraId="46A9AD94" w14:textId="77777777" w:rsidR="007E097D" w:rsidRDefault="007E097D" w:rsidP="008271B4">
      <w:pPr>
        <w:contextualSpacing/>
        <w:rPr>
          <w:rFonts w:eastAsia="Calibri"/>
        </w:rPr>
      </w:pPr>
      <w:r>
        <w:rPr>
          <w:noProof/>
        </w:rPr>
        <w:drawing>
          <wp:anchor distT="0" distB="0" distL="114300" distR="114300" simplePos="0" relativeHeight="251659264" behindDoc="0" locked="0" layoutInCell="1" allowOverlap="1" wp14:anchorId="3CD50ABE" wp14:editId="5409DC83">
            <wp:simplePos x="0" y="0"/>
            <wp:positionH relativeFrom="column">
              <wp:posOffset>-413165</wp:posOffset>
            </wp:positionH>
            <wp:positionV relativeFrom="paragraph">
              <wp:posOffset>294052</wp:posOffset>
            </wp:positionV>
            <wp:extent cx="8920666" cy="2780676"/>
            <wp:effectExtent l="0" t="0" r="0" b="63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8920666" cy="2780676"/>
                    </a:xfrm>
                    <a:prstGeom prst="rect">
                      <a:avLst/>
                    </a:prstGeom>
                  </pic:spPr>
                </pic:pic>
              </a:graphicData>
            </a:graphic>
            <wp14:sizeRelH relativeFrom="page">
              <wp14:pctWidth>0</wp14:pctWidth>
            </wp14:sizeRelH>
            <wp14:sizeRelV relativeFrom="page">
              <wp14:pctHeight>0</wp14:pctHeight>
            </wp14:sizeRelV>
          </wp:anchor>
        </w:drawing>
      </w:r>
    </w:p>
    <w:p w14:paraId="7674DA28" w14:textId="77777777" w:rsidR="007E097D" w:rsidRDefault="007E097D" w:rsidP="008271B4">
      <w:pPr>
        <w:contextualSpacing/>
        <w:rPr>
          <w:rFonts w:eastAsia="Calibri"/>
        </w:rPr>
      </w:pPr>
    </w:p>
    <w:p w14:paraId="7BE23719" w14:textId="77777777" w:rsidR="007E097D" w:rsidRDefault="007E097D">
      <w:pPr>
        <w:spacing w:line="259" w:lineRule="auto"/>
        <w:rPr>
          <w:rFonts w:eastAsia="Calibri"/>
        </w:rPr>
      </w:pPr>
      <w:r>
        <w:rPr>
          <w:rFonts w:eastAsia="Calibri"/>
        </w:rPr>
        <w:br w:type="page"/>
      </w:r>
    </w:p>
    <w:p w14:paraId="3068C2FA" w14:textId="77777777" w:rsidR="007E097D" w:rsidRDefault="007E097D" w:rsidP="00013E48">
      <w:pPr>
        <w:contextualSpacing/>
        <w:rPr>
          <w:rFonts w:eastAsia="Calibri"/>
          <w:b/>
          <w:bCs/>
        </w:rPr>
        <w:sectPr w:rsidR="007E097D" w:rsidSect="008271B4">
          <w:pgSz w:w="15840" w:h="12240" w:orient="landscape"/>
          <w:pgMar w:top="1080" w:right="1440" w:bottom="1080" w:left="1440" w:header="720" w:footer="720" w:gutter="0"/>
          <w:cols w:space="720"/>
          <w:docGrid w:linePitch="360"/>
        </w:sectPr>
      </w:pPr>
    </w:p>
    <w:p w14:paraId="3E0CC544" w14:textId="77777777" w:rsidR="007E097D" w:rsidRDefault="007E097D" w:rsidP="00E105DE">
      <w:pPr>
        <w:contextualSpacing/>
        <w:rPr>
          <w:rFonts w:eastAsia="Calibri"/>
          <w:b/>
          <w:bCs/>
        </w:rPr>
      </w:pPr>
      <w:r w:rsidRPr="00E105DE">
        <w:rPr>
          <w:rFonts w:eastAsia="Calibri"/>
          <w:b/>
          <w:bCs/>
        </w:rPr>
        <w:lastRenderedPageBreak/>
        <w:t xml:space="preserve">Figure </w:t>
      </w:r>
      <w:r>
        <w:rPr>
          <w:rFonts w:eastAsia="Calibri"/>
          <w:b/>
          <w:bCs/>
        </w:rPr>
        <w:t>1</w:t>
      </w:r>
      <w:r w:rsidRPr="00E105DE">
        <w:rPr>
          <w:rFonts w:eastAsia="Calibri"/>
          <w:b/>
          <w:bCs/>
        </w:rPr>
        <w:t>. Study Population</w:t>
      </w:r>
    </w:p>
    <w:p w14:paraId="0AF89062" w14:textId="77777777" w:rsidR="007E097D" w:rsidRPr="00E105DE" w:rsidRDefault="007E097D" w:rsidP="00E105DE">
      <w:pPr>
        <w:contextualSpacing/>
        <w:rPr>
          <w:rFonts w:eastAsia="Calibri"/>
          <w:b/>
          <w:bCs/>
        </w:rPr>
      </w:pPr>
    </w:p>
    <w:p w14:paraId="7CC7A86F" w14:textId="77777777" w:rsidR="007E097D" w:rsidRPr="00E105DE" w:rsidRDefault="007E097D" w:rsidP="00E105DE">
      <w:pPr>
        <w:contextualSpacing/>
        <w:rPr>
          <w:rFonts w:eastAsia="Calibri"/>
        </w:rPr>
      </w:pPr>
      <w:r w:rsidRPr="00E105DE">
        <w:rPr>
          <w:rFonts w:eastAsia="Calibri"/>
        </w:rPr>
        <w:t>Figure shows identification of eligible patients and reasons for patient exclusion.</w:t>
      </w:r>
    </w:p>
    <w:p w14:paraId="1295AA4E" w14:textId="77777777" w:rsidR="007E097D" w:rsidRDefault="007E097D" w:rsidP="00013E48">
      <w:pPr>
        <w:contextualSpacing/>
        <w:rPr>
          <w:rFonts w:eastAsia="Calibri"/>
          <w:b/>
          <w:bCs/>
        </w:rPr>
      </w:pPr>
    </w:p>
    <w:p w14:paraId="12B32F1B" w14:textId="77777777" w:rsidR="007E097D" w:rsidRDefault="007E097D" w:rsidP="00E105DE">
      <w:pPr>
        <w:contextualSpacing/>
        <w:jc w:val="center"/>
        <w:rPr>
          <w:rFonts w:eastAsia="Calibri"/>
          <w:b/>
          <w:bCs/>
        </w:rPr>
      </w:pPr>
      <w:r>
        <w:rPr>
          <w:noProof/>
        </w:rPr>
        <w:drawing>
          <wp:inline distT="0" distB="0" distL="0" distR="0" wp14:anchorId="195D5DFE" wp14:editId="2DEB88EE">
            <wp:extent cx="4254500" cy="61976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254500" cy="6197600"/>
                    </a:xfrm>
                    <a:prstGeom prst="rect">
                      <a:avLst/>
                    </a:prstGeom>
                  </pic:spPr>
                </pic:pic>
              </a:graphicData>
            </a:graphic>
          </wp:inline>
        </w:drawing>
      </w:r>
    </w:p>
    <w:p w14:paraId="7F22DE32" w14:textId="77777777" w:rsidR="007E097D" w:rsidRDefault="007E097D" w:rsidP="00013E48">
      <w:pPr>
        <w:contextualSpacing/>
        <w:rPr>
          <w:rFonts w:eastAsia="Calibri"/>
          <w:b/>
          <w:bCs/>
        </w:rPr>
      </w:pPr>
    </w:p>
    <w:p w14:paraId="77B317A0" w14:textId="77777777" w:rsidR="007E097D" w:rsidRDefault="007E097D" w:rsidP="00013E48">
      <w:pPr>
        <w:contextualSpacing/>
        <w:rPr>
          <w:rFonts w:eastAsia="Calibri"/>
          <w:b/>
          <w:bCs/>
        </w:rPr>
      </w:pPr>
    </w:p>
    <w:p w14:paraId="2C9E51E2" w14:textId="77777777" w:rsidR="007E097D" w:rsidRDefault="007E097D" w:rsidP="00013E48">
      <w:pPr>
        <w:contextualSpacing/>
        <w:rPr>
          <w:rFonts w:eastAsia="Calibri"/>
          <w:b/>
          <w:bCs/>
        </w:rPr>
      </w:pPr>
      <w:r>
        <w:rPr>
          <w:rFonts w:eastAsia="Calibri"/>
          <w:b/>
          <w:bCs/>
        </w:rPr>
        <w:br w:type="page"/>
      </w:r>
    </w:p>
    <w:p w14:paraId="50B80F36" w14:textId="77777777" w:rsidR="007E097D" w:rsidRDefault="007E097D" w:rsidP="00013E48">
      <w:pPr>
        <w:contextualSpacing/>
        <w:rPr>
          <w:rFonts w:eastAsia="Calibri"/>
          <w:b/>
          <w:bCs/>
        </w:rPr>
        <w:sectPr w:rsidR="007E097D" w:rsidSect="00013E48">
          <w:pgSz w:w="12240" w:h="15840"/>
          <w:pgMar w:top="1440" w:right="1080" w:bottom="1440" w:left="1080" w:header="720" w:footer="720" w:gutter="0"/>
          <w:cols w:space="720"/>
          <w:docGrid w:linePitch="360"/>
        </w:sectPr>
      </w:pPr>
    </w:p>
    <w:p w14:paraId="402C68BA" w14:textId="77777777" w:rsidR="007E097D" w:rsidRDefault="007E097D" w:rsidP="00E105DE">
      <w:pPr>
        <w:contextualSpacing/>
        <w:rPr>
          <w:rFonts w:eastAsia="Calibri"/>
          <w:b/>
          <w:bCs/>
        </w:rPr>
      </w:pPr>
      <w:r w:rsidRPr="00E105DE">
        <w:rPr>
          <w:rFonts w:eastAsia="Calibri"/>
          <w:b/>
          <w:bCs/>
        </w:rPr>
        <w:lastRenderedPageBreak/>
        <w:t xml:space="preserve">Figure </w:t>
      </w:r>
      <w:r>
        <w:rPr>
          <w:rFonts w:eastAsia="Calibri"/>
          <w:b/>
          <w:bCs/>
        </w:rPr>
        <w:t>2</w:t>
      </w:r>
      <w:r w:rsidRPr="00E105DE">
        <w:rPr>
          <w:rFonts w:eastAsia="Calibri"/>
          <w:b/>
          <w:bCs/>
        </w:rPr>
        <w:t xml:space="preserve">. </w:t>
      </w:r>
      <w:r>
        <w:rPr>
          <w:rFonts w:eastAsia="Calibri"/>
          <w:b/>
          <w:bCs/>
        </w:rPr>
        <w:t>Invasive Home Mechanical Ventilation Duration</w:t>
      </w:r>
      <w:r w:rsidRPr="00E105DE">
        <w:rPr>
          <w:rFonts w:eastAsia="Calibri"/>
          <w:b/>
          <w:bCs/>
        </w:rPr>
        <w:t xml:space="preserve"> </w:t>
      </w:r>
    </w:p>
    <w:p w14:paraId="02BA86CF" w14:textId="77777777" w:rsidR="007E097D" w:rsidRPr="00E105DE" w:rsidRDefault="007E097D" w:rsidP="00E105DE">
      <w:pPr>
        <w:contextualSpacing/>
        <w:rPr>
          <w:rFonts w:eastAsia="Calibri"/>
          <w:b/>
          <w:bCs/>
        </w:rPr>
      </w:pPr>
    </w:p>
    <w:p w14:paraId="48D26181" w14:textId="77777777" w:rsidR="007E097D" w:rsidRDefault="007E097D" w:rsidP="00E105DE">
      <w:pPr>
        <w:contextualSpacing/>
        <w:rPr>
          <w:rFonts w:eastAsia="Calibri"/>
        </w:rPr>
      </w:pPr>
      <w:r w:rsidRPr="00E105DE">
        <w:rPr>
          <w:rFonts w:eastAsia="Calibri"/>
        </w:rPr>
        <w:t xml:space="preserve">Kaplan-Meier curve probability of </w:t>
      </w:r>
      <w:r>
        <w:rPr>
          <w:rFonts w:eastAsia="Calibri"/>
        </w:rPr>
        <w:t>the</w:t>
      </w:r>
      <w:r w:rsidRPr="00E105DE">
        <w:rPr>
          <w:rFonts w:eastAsia="Calibri"/>
        </w:rPr>
        <w:t xml:space="preserve"> 119 patients remaining on home mechanical ventilation (</w:t>
      </w:r>
      <w:proofErr w:type="spellStart"/>
      <w:r>
        <w:rPr>
          <w:rFonts w:eastAsia="Calibri"/>
        </w:rPr>
        <w:t>iHMV</w:t>
      </w:r>
      <w:proofErr w:type="spellEnd"/>
      <w:r w:rsidRPr="00E105DE">
        <w:rPr>
          <w:rFonts w:eastAsia="Calibri"/>
        </w:rPr>
        <w:t>) (y-axis) over time in months (x-axis). Patients censored for death or lost to follow-up.</w:t>
      </w:r>
      <w:r>
        <w:rPr>
          <w:rFonts w:eastAsia="Calibri"/>
        </w:rPr>
        <w:t xml:space="preserve"> </w:t>
      </w:r>
      <w:r w:rsidRPr="00E105DE">
        <w:rPr>
          <w:rFonts w:eastAsia="Calibri"/>
        </w:rPr>
        <w:t>Remaining number of patient</w:t>
      </w:r>
      <w:r>
        <w:rPr>
          <w:rFonts w:eastAsia="Calibri"/>
        </w:rPr>
        <w:t>s</w:t>
      </w:r>
      <w:r w:rsidRPr="00E105DE">
        <w:rPr>
          <w:rFonts w:eastAsia="Calibri"/>
        </w:rPr>
        <w:t xml:space="preserve"> in cohort also indicated along x-axis.</w:t>
      </w:r>
      <w:r>
        <w:rPr>
          <w:rFonts w:eastAsia="Calibri"/>
        </w:rPr>
        <w:t xml:space="preserve"> Solid black lines</w:t>
      </w:r>
      <w:r w:rsidRPr="00E105DE">
        <w:rPr>
          <w:rFonts w:eastAsia="Calibri"/>
        </w:rPr>
        <w:t xml:space="preserve"> shows that 50% of the population weaned off </w:t>
      </w:r>
      <w:proofErr w:type="spellStart"/>
      <w:r>
        <w:rPr>
          <w:rFonts w:eastAsia="Calibri"/>
        </w:rPr>
        <w:t>iHMV</w:t>
      </w:r>
      <w:proofErr w:type="spellEnd"/>
      <w:r w:rsidRPr="00E105DE">
        <w:rPr>
          <w:rFonts w:eastAsia="Calibri"/>
        </w:rPr>
        <w:t xml:space="preserve"> by 36.3 months</w:t>
      </w:r>
      <w:r>
        <w:rPr>
          <w:rFonts w:eastAsia="Calibri"/>
        </w:rPr>
        <w:t>.</w:t>
      </w:r>
    </w:p>
    <w:p w14:paraId="49F37572" w14:textId="77777777" w:rsidR="007E097D" w:rsidRDefault="007E097D" w:rsidP="00E105DE">
      <w:pPr>
        <w:contextualSpacing/>
        <w:rPr>
          <w:rFonts w:eastAsia="Calibri"/>
        </w:rPr>
      </w:pPr>
    </w:p>
    <w:p w14:paraId="1BED7041" w14:textId="77777777" w:rsidR="007E097D" w:rsidRDefault="007E097D" w:rsidP="00E105DE">
      <w:pPr>
        <w:contextualSpacing/>
        <w:rPr>
          <w:rFonts w:eastAsia="Calibri"/>
        </w:rPr>
      </w:pPr>
    </w:p>
    <w:p w14:paraId="7EF83F48" w14:textId="77777777" w:rsidR="007E097D" w:rsidRPr="00E105DE" w:rsidRDefault="007E097D" w:rsidP="00E105DE">
      <w:pPr>
        <w:contextualSpacing/>
        <w:rPr>
          <w:rFonts w:eastAsia="Calibri"/>
        </w:rPr>
        <w:sectPr w:rsidR="007E097D" w:rsidRPr="00E105DE" w:rsidSect="00E105DE">
          <w:pgSz w:w="15840" w:h="12240" w:orient="landscape"/>
          <w:pgMar w:top="1080" w:right="1440" w:bottom="1080" w:left="1440" w:header="720" w:footer="720" w:gutter="0"/>
          <w:cols w:space="720"/>
          <w:docGrid w:linePitch="360"/>
        </w:sectPr>
      </w:pPr>
      <w:r>
        <w:rPr>
          <w:noProof/>
        </w:rPr>
        <w:drawing>
          <wp:inline distT="0" distB="0" distL="0" distR="0" wp14:anchorId="3FF0DA05" wp14:editId="15E8B734">
            <wp:extent cx="7362908" cy="4822275"/>
            <wp:effectExtent l="0" t="0" r="3175" b="0"/>
            <wp:docPr id="2" name="Picture 1" descr="Chart, histogram&#10;&#10;Description automatically generated">
              <a:extLst xmlns:a="http://schemas.openxmlformats.org/drawingml/2006/main">
                <a:ext uri="{FF2B5EF4-FFF2-40B4-BE49-F238E27FC236}">
                  <a16:creationId xmlns:a16="http://schemas.microsoft.com/office/drawing/2014/main" id="{081331E4-32CD-4A39-8BFA-C9364157460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Chart, histogram&#10;&#10;Description automatically generated">
                      <a:extLst>
                        <a:ext uri="{FF2B5EF4-FFF2-40B4-BE49-F238E27FC236}">
                          <a16:creationId xmlns:a16="http://schemas.microsoft.com/office/drawing/2014/main" id="{081331E4-32CD-4A39-8BFA-C93641574607}"/>
                        </a:ext>
                      </a:extLst>
                    </pic:cNvPr>
                    <pic:cNvPicPr>
                      <a:picLocks noChangeAspect="1"/>
                    </pic:cNvPicPr>
                  </pic:nvPicPr>
                  <pic:blipFill>
                    <a:blip r:embed="rId10"/>
                    <a:stretch>
                      <a:fillRect/>
                    </a:stretch>
                  </pic:blipFill>
                  <pic:spPr>
                    <a:xfrm>
                      <a:off x="0" y="0"/>
                      <a:ext cx="7370452" cy="4827216"/>
                    </a:xfrm>
                    <a:prstGeom prst="rect">
                      <a:avLst/>
                    </a:prstGeom>
                  </pic:spPr>
                </pic:pic>
              </a:graphicData>
            </a:graphic>
          </wp:inline>
        </w:drawing>
      </w:r>
    </w:p>
    <w:p w14:paraId="14A0ACE9" w14:textId="77777777" w:rsidR="007E097D" w:rsidRDefault="007E097D" w:rsidP="00013E48">
      <w:pPr>
        <w:contextualSpacing/>
        <w:rPr>
          <w:rFonts w:eastAsia="Calibri"/>
          <w:b/>
          <w:bCs/>
        </w:rPr>
        <w:sectPr w:rsidR="007E097D" w:rsidSect="00E105DE">
          <w:pgSz w:w="12240" w:h="15840"/>
          <w:pgMar w:top="1440" w:right="1080" w:bottom="1440" w:left="1080" w:header="720" w:footer="720" w:gutter="0"/>
          <w:cols w:space="720"/>
          <w:docGrid w:linePitch="360"/>
        </w:sectPr>
      </w:pPr>
    </w:p>
    <w:p w14:paraId="731634F1" w14:textId="77777777" w:rsidR="007E097D" w:rsidRPr="00013E48" w:rsidRDefault="007E097D" w:rsidP="00013E48">
      <w:pPr>
        <w:contextualSpacing/>
        <w:rPr>
          <w:rFonts w:eastAsia="Calibri"/>
          <w:b/>
          <w:bCs/>
        </w:rPr>
      </w:pPr>
      <w:r w:rsidRPr="00013E48">
        <w:rPr>
          <w:rFonts w:eastAsia="Calibri"/>
          <w:b/>
          <w:bCs/>
        </w:rPr>
        <w:t>Table 1. Study Population</w:t>
      </w:r>
      <w:r>
        <w:rPr>
          <w:rFonts w:eastAsia="Calibri"/>
          <w:b/>
          <w:bCs/>
        </w:rPr>
        <w:t xml:space="preserve"> Demographics and Clinical</w:t>
      </w:r>
      <w:r w:rsidRPr="00013E48">
        <w:rPr>
          <w:rFonts w:eastAsia="Calibri"/>
          <w:b/>
          <w:bCs/>
        </w:rPr>
        <w:t xml:space="preserve"> </w:t>
      </w:r>
      <w:r>
        <w:rPr>
          <w:rFonts w:eastAsia="Calibri"/>
          <w:b/>
          <w:bCs/>
        </w:rPr>
        <w:t xml:space="preserve">Characteristics </w:t>
      </w:r>
    </w:p>
    <w:p w14:paraId="35F9FAA3" w14:textId="77777777" w:rsidR="007E097D" w:rsidRPr="002558C7" w:rsidRDefault="007E097D" w:rsidP="00013E48">
      <w:pPr>
        <w:contextualSpacing/>
        <w:rPr>
          <w:rFonts w:eastAsia="Calibri"/>
          <w:b/>
          <w:bCs/>
          <w:sz w:val="8"/>
          <w:szCs w:val="8"/>
        </w:rPr>
      </w:pPr>
    </w:p>
    <w:p w14:paraId="52110712" w14:textId="77777777" w:rsidR="007E097D" w:rsidRDefault="007E097D" w:rsidP="00013E48">
      <w:pPr>
        <w:rPr>
          <w:rFonts w:eastAsia="Calibri"/>
        </w:rPr>
      </w:pPr>
      <w:r w:rsidRPr="00D53959">
        <w:rPr>
          <w:color w:val="000000"/>
        </w:rPr>
        <w:t>All values are n (%) unless otherwise indicated as mean with standard deviation (SD) or interquartile range (IQR) if skewed</w:t>
      </w:r>
      <w:r w:rsidRPr="00013E48">
        <w:rPr>
          <w:color w:val="000000"/>
        </w:rPr>
        <w:t xml:space="preserve">. </w:t>
      </w:r>
      <w:r w:rsidRPr="00013E48">
        <w:rPr>
          <w:rFonts w:eastAsia="Calibri"/>
        </w:rPr>
        <w:t>N= 119 patients.</w:t>
      </w:r>
      <w:r>
        <w:rPr>
          <w:rFonts w:eastAsia="Calibri"/>
        </w:rPr>
        <w:t xml:space="preserve"> </w:t>
      </w:r>
    </w:p>
    <w:p w14:paraId="72491ECB" w14:textId="77777777" w:rsidR="007E097D" w:rsidRPr="002558C7" w:rsidRDefault="007E097D" w:rsidP="00013E48">
      <w:pPr>
        <w:rPr>
          <w:rFonts w:eastAsia="Calibri"/>
          <w:sz w:val="8"/>
          <w:szCs w:val="8"/>
        </w:rPr>
      </w:pPr>
    </w:p>
    <w:tbl>
      <w:tblPr>
        <w:tblW w:w="9828" w:type="dxa"/>
        <w:tblLook w:val="04A0" w:firstRow="1" w:lastRow="0" w:firstColumn="1" w:lastColumn="0" w:noHBand="0" w:noVBand="1"/>
      </w:tblPr>
      <w:tblGrid>
        <w:gridCol w:w="6949"/>
        <w:gridCol w:w="2879"/>
      </w:tblGrid>
      <w:tr w:rsidR="007E097D" w14:paraId="43575C84" w14:textId="77777777" w:rsidTr="00C10C69">
        <w:trPr>
          <w:trHeight w:val="279"/>
        </w:trPr>
        <w:tc>
          <w:tcPr>
            <w:tcW w:w="6949" w:type="dxa"/>
            <w:tcBorders>
              <w:top w:val="single" w:sz="4" w:space="0" w:color="auto"/>
              <w:left w:val="single" w:sz="4" w:space="0" w:color="auto"/>
              <w:bottom w:val="single" w:sz="4" w:space="0" w:color="auto"/>
              <w:right w:val="nil"/>
            </w:tcBorders>
            <w:shd w:val="clear" w:color="000000" w:fill="D9D9D9"/>
            <w:noWrap/>
            <w:vAlign w:val="bottom"/>
            <w:hideMark/>
          </w:tcPr>
          <w:p w14:paraId="7A2F491B" w14:textId="77777777" w:rsidR="007E097D" w:rsidRDefault="007E097D">
            <w:pPr>
              <w:rPr>
                <w:b/>
                <w:bCs/>
                <w:color w:val="000000"/>
                <w:sz w:val="22"/>
                <w:szCs w:val="22"/>
              </w:rPr>
            </w:pPr>
            <w:r>
              <w:rPr>
                <w:b/>
                <w:bCs/>
                <w:color w:val="000000"/>
                <w:sz w:val="22"/>
                <w:szCs w:val="22"/>
              </w:rPr>
              <w:t>Characteristics</w:t>
            </w:r>
          </w:p>
        </w:tc>
        <w:tc>
          <w:tcPr>
            <w:tcW w:w="2879" w:type="dxa"/>
            <w:tcBorders>
              <w:top w:val="single" w:sz="4" w:space="0" w:color="auto"/>
              <w:left w:val="nil"/>
              <w:bottom w:val="single" w:sz="4" w:space="0" w:color="auto"/>
              <w:right w:val="single" w:sz="4" w:space="0" w:color="auto"/>
            </w:tcBorders>
            <w:shd w:val="clear" w:color="000000" w:fill="D9D9D9"/>
            <w:noWrap/>
            <w:vAlign w:val="bottom"/>
            <w:hideMark/>
          </w:tcPr>
          <w:p w14:paraId="0314784A" w14:textId="77777777" w:rsidR="007E097D" w:rsidRDefault="007E097D">
            <w:pPr>
              <w:jc w:val="center"/>
              <w:rPr>
                <w:color w:val="000000"/>
                <w:sz w:val="22"/>
                <w:szCs w:val="22"/>
              </w:rPr>
            </w:pPr>
            <w:r>
              <w:rPr>
                <w:color w:val="000000"/>
                <w:sz w:val="22"/>
                <w:szCs w:val="22"/>
              </w:rPr>
              <w:t>n (%)</w:t>
            </w:r>
          </w:p>
        </w:tc>
      </w:tr>
      <w:tr w:rsidR="007E097D" w14:paraId="4FC00FE1" w14:textId="77777777" w:rsidTr="00C10C69">
        <w:trPr>
          <w:trHeight w:val="263"/>
        </w:trPr>
        <w:tc>
          <w:tcPr>
            <w:tcW w:w="6949" w:type="dxa"/>
            <w:tcBorders>
              <w:top w:val="nil"/>
              <w:left w:val="single" w:sz="4" w:space="0" w:color="auto"/>
              <w:bottom w:val="nil"/>
              <w:right w:val="single" w:sz="4" w:space="0" w:color="auto"/>
            </w:tcBorders>
            <w:shd w:val="clear" w:color="auto" w:fill="auto"/>
            <w:noWrap/>
            <w:vAlign w:val="bottom"/>
            <w:hideMark/>
          </w:tcPr>
          <w:p w14:paraId="0984FF30" w14:textId="77777777" w:rsidR="007E097D" w:rsidRDefault="007E097D">
            <w:pPr>
              <w:rPr>
                <w:b/>
                <w:bCs/>
                <w:color w:val="000000"/>
                <w:sz w:val="22"/>
                <w:szCs w:val="22"/>
              </w:rPr>
            </w:pPr>
            <w:r>
              <w:rPr>
                <w:b/>
                <w:bCs/>
                <w:color w:val="000000"/>
                <w:sz w:val="22"/>
                <w:szCs w:val="22"/>
              </w:rPr>
              <w:t xml:space="preserve">Patient biological sex </w:t>
            </w:r>
          </w:p>
        </w:tc>
        <w:tc>
          <w:tcPr>
            <w:tcW w:w="2879" w:type="dxa"/>
            <w:tcBorders>
              <w:top w:val="nil"/>
              <w:left w:val="nil"/>
              <w:bottom w:val="nil"/>
              <w:right w:val="single" w:sz="4" w:space="0" w:color="auto"/>
            </w:tcBorders>
            <w:shd w:val="clear" w:color="auto" w:fill="auto"/>
            <w:noWrap/>
            <w:hideMark/>
          </w:tcPr>
          <w:p w14:paraId="4E3E86A4" w14:textId="77777777" w:rsidR="007E097D" w:rsidRDefault="007E097D">
            <w:pPr>
              <w:jc w:val="center"/>
              <w:rPr>
                <w:color w:val="000000"/>
                <w:sz w:val="22"/>
                <w:szCs w:val="22"/>
              </w:rPr>
            </w:pPr>
            <w:r>
              <w:rPr>
                <w:color w:val="000000"/>
                <w:sz w:val="22"/>
                <w:szCs w:val="22"/>
              </w:rPr>
              <w:t> </w:t>
            </w:r>
          </w:p>
        </w:tc>
      </w:tr>
      <w:tr w:rsidR="007E097D" w14:paraId="1BA21D77" w14:textId="77777777" w:rsidTr="00C10C69">
        <w:trPr>
          <w:trHeight w:val="263"/>
        </w:trPr>
        <w:tc>
          <w:tcPr>
            <w:tcW w:w="6949" w:type="dxa"/>
            <w:tcBorders>
              <w:top w:val="nil"/>
              <w:left w:val="single" w:sz="4" w:space="0" w:color="auto"/>
              <w:bottom w:val="nil"/>
              <w:right w:val="single" w:sz="4" w:space="0" w:color="auto"/>
            </w:tcBorders>
            <w:shd w:val="clear" w:color="auto" w:fill="auto"/>
            <w:noWrap/>
            <w:vAlign w:val="bottom"/>
            <w:hideMark/>
          </w:tcPr>
          <w:p w14:paraId="162DFD76" w14:textId="77777777" w:rsidR="007E097D" w:rsidRDefault="007E097D">
            <w:pPr>
              <w:ind w:firstLineChars="100" w:firstLine="220"/>
              <w:rPr>
                <w:color w:val="000000"/>
                <w:sz w:val="22"/>
                <w:szCs w:val="22"/>
              </w:rPr>
            </w:pPr>
            <w:r>
              <w:rPr>
                <w:color w:val="000000"/>
                <w:sz w:val="22"/>
                <w:szCs w:val="22"/>
              </w:rPr>
              <w:t xml:space="preserve">Male </w:t>
            </w:r>
          </w:p>
        </w:tc>
        <w:tc>
          <w:tcPr>
            <w:tcW w:w="2879" w:type="dxa"/>
            <w:tcBorders>
              <w:top w:val="nil"/>
              <w:left w:val="nil"/>
              <w:bottom w:val="nil"/>
              <w:right w:val="single" w:sz="4" w:space="0" w:color="auto"/>
            </w:tcBorders>
            <w:shd w:val="clear" w:color="auto" w:fill="auto"/>
            <w:noWrap/>
            <w:hideMark/>
          </w:tcPr>
          <w:p w14:paraId="7D615FB8" w14:textId="77777777" w:rsidR="007E097D" w:rsidRDefault="007E097D">
            <w:pPr>
              <w:jc w:val="center"/>
              <w:rPr>
                <w:color w:val="000000"/>
                <w:sz w:val="22"/>
                <w:szCs w:val="22"/>
              </w:rPr>
            </w:pPr>
            <w:r>
              <w:rPr>
                <w:color w:val="000000"/>
                <w:sz w:val="22"/>
                <w:szCs w:val="22"/>
              </w:rPr>
              <w:t>66 (55.5%)</w:t>
            </w:r>
          </w:p>
        </w:tc>
      </w:tr>
      <w:tr w:rsidR="007E097D" w14:paraId="6084E1B0" w14:textId="77777777" w:rsidTr="00C10C69">
        <w:trPr>
          <w:trHeight w:val="263"/>
        </w:trPr>
        <w:tc>
          <w:tcPr>
            <w:tcW w:w="6949" w:type="dxa"/>
            <w:tcBorders>
              <w:top w:val="nil"/>
              <w:left w:val="single" w:sz="4" w:space="0" w:color="auto"/>
              <w:bottom w:val="single" w:sz="4" w:space="0" w:color="auto"/>
              <w:right w:val="single" w:sz="4" w:space="0" w:color="auto"/>
            </w:tcBorders>
            <w:shd w:val="clear" w:color="auto" w:fill="auto"/>
            <w:noWrap/>
            <w:vAlign w:val="bottom"/>
            <w:hideMark/>
          </w:tcPr>
          <w:p w14:paraId="35512F61" w14:textId="77777777" w:rsidR="007E097D" w:rsidRDefault="007E097D">
            <w:pPr>
              <w:ind w:firstLineChars="100" w:firstLine="220"/>
              <w:rPr>
                <w:color w:val="000000"/>
                <w:sz w:val="22"/>
                <w:szCs w:val="22"/>
              </w:rPr>
            </w:pPr>
            <w:r>
              <w:rPr>
                <w:color w:val="000000"/>
                <w:sz w:val="22"/>
                <w:szCs w:val="22"/>
              </w:rPr>
              <w:t xml:space="preserve">Female </w:t>
            </w:r>
          </w:p>
        </w:tc>
        <w:tc>
          <w:tcPr>
            <w:tcW w:w="2879" w:type="dxa"/>
            <w:tcBorders>
              <w:top w:val="nil"/>
              <w:left w:val="nil"/>
              <w:bottom w:val="single" w:sz="4" w:space="0" w:color="auto"/>
              <w:right w:val="single" w:sz="4" w:space="0" w:color="auto"/>
            </w:tcBorders>
            <w:shd w:val="clear" w:color="auto" w:fill="auto"/>
            <w:noWrap/>
            <w:hideMark/>
          </w:tcPr>
          <w:p w14:paraId="06936B37" w14:textId="77777777" w:rsidR="007E097D" w:rsidRDefault="007E097D">
            <w:pPr>
              <w:jc w:val="center"/>
              <w:rPr>
                <w:color w:val="000000"/>
                <w:sz w:val="22"/>
                <w:szCs w:val="22"/>
              </w:rPr>
            </w:pPr>
            <w:r>
              <w:rPr>
                <w:color w:val="000000"/>
                <w:sz w:val="22"/>
                <w:szCs w:val="22"/>
              </w:rPr>
              <w:t>53 (44.5%)</w:t>
            </w:r>
          </w:p>
        </w:tc>
      </w:tr>
      <w:tr w:rsidR="007E097D" w14:paraId="3E9FC486" w14:textId="77777777" w:rsidTr="00C10C69">
        <w:trPr>
          <w:trHeight w:val="263"/>
        </w:trPr>
        <w:tc>
          <w:tcPr>
            <w:tcW w:w="6949" w:type="dxa"/>
            <w:tcBorders>
              <w:top w:val="nil"/>
              <w:left w:val="single" w:sz="4" w:space="0" w:color="auto"/>
              <w:bottom w:val="nil"/>
              <w:right w:val="nil"/>
            </w:tcBorders>
            <w:shd w:val="clear" w:color="auto" w:fill="auto"/>
            <w:noWrap/>
            <w:vAlign w:val="bottom"/>
            <w:hideMark/>
          </w:tcPr>
          <w:p w14:paraId="64D30C6E" w14:textId="77777777" w:rsidR="007E097D" w:rsidRDefault="007E097D">
            <w:pPr>
              <w:rPr>
                <w:b/>
                <w:bCs/>
                <w:color w:val="000000"/>
                <w:sz w:val="22"/>
                <w:szCs w:val="22"/>
              </w:rPr>
            </w:pPr>
            <w:r>
              <w:rPr>
                <w:b/>
                <w:bCs/>
                <w:color w:val="000000"/>
                <w:sz w:val="22"/>
                <w:szCs w:val="22"/>
              </w:rPr>
              <w:t xml:space="preserve">Patient Race Ethnicity </w:t>
            </w:r>
          </w:p>
        </w:tc>
        <w:tc>
          <w:tcPr>
            <w:tcW w:w="2879" w:type="dxa"/>
            <w:tcBorders>
              <w:top w:val="nil"/>
              <w:left w:val="single" w:sz="4" w:space="0" w:color="auto"/>
              <w:bottom w:val="nil"/>
              <w:right w:val="single" w:sz="4" w:space="0" w:color="auto"/>
            </w:tcBorders>
            <w:shd w:val="clear" w:color="auto" w:fill="auto"/>
            <w:noWrap/>
            <w:hideMark/>
          </w:tcPr>
          <w:p w14:paraId="0F90BC98" w14:textId="77777777" w:rsidR="007E097D" w:rsidRDefault="007E097D">
            <w:pPr>
              <w:jc w:val="center"/>
              <w:rPr>
                <w:color w:val="000000"/>
                <w:sz w:val="22"/>
                <w:szCs w:val="22"/>
              </w:rPr>
            </w:pPr>
            <w:r>
              <w:rPr>
                <w:color w:val="000000"/>
                <w:sz w:val="22"/>
                <w:szCs w:val="22"/>
              </w:rPr>
              <w:t> </w:t>
            </w:r>
          </w:p>
        </w:tc>
      </w:tr>
      <w:tr w:rsidR="007E097D" w14:paraId="1F981733" w14:textId="77777777" w:rsidTr="00C10C69">
        <w:trPr>
          <w:trHeight w:val="263"/>
        </w:trPr>
        <w:tc>
          <w:tcPr>
            <w:tcW w:w="6949" w:type="dxa"/>
            <w:tcBorders>
              <w:top w:val="nil"/>
              <w:left w:val="single" w:sz="4" w:space="0" w:color="auto"/>
              <w:bottom w:val="nil"/>
              <w:right w:val="nil"/>
            </w:tcBorders>
            <w:shd w:val="clear" w:color="auto" w:fill="auto"/>
            <w:noWrap/>
            <w:vAlign w:val="bottom"/>
            <w:hideMark/>
          </w:tcPr>
          <w:p w14:paraId="12431017" w14:textId="77777777" w:rsidR="007E097D" w:rsidRDefault="007E097D">
            <w:pPr>
              <w:ind w:firstLineChars="100" w:firstLine="220"/>
              <w:rPr>
                <w:color w:val="000000"/>
                <w:sz w:val="22"/>
                <w:szCs w:val="22"/>
              </w:rPr>
            </w:pPr>
            <w:r>
              <w:rPr>
                <w:color w:val="000000"/>
                <w:sz w:val="22"/>
                <w:szCs w:val="22"/>
              </w:rPr>
              <w:t>Non-Hispanic White</w:t>
            </w:r>
          </w:p>
        </w:tc>
        <w:tc>
          <w:tcPr>
            <w:tcW w:w="2879" w:type="dxa"/>
            <w:tcBorders>
              <w:top w:val="nil"/>
              <w:left w:val="single" w:sz="4" w:space="0" w:color="auto"/>
              <w:bottom w:val="nil"/>
              <w:right w:val="single" w:sz="4" w:space="0" w:color="auto"/>
            </w:tcBorders>
            <w:shd w:val="clear" w:color="auto" w:fill="auto"/>
            <w:noWrap/>
            <w:vAlign w:val="bottom"/>
            <w:hideMark/>
          </w:tcPr>
          <w:p w14:paraId="31CCF9CE" w14:textId="77777777" w:rsidR="007E097D" w:rsidRDefault="007E097D">
            <w:pPr>
              <w:jc w:val="center"/>
              <w:rPr>
                <w:color w:val="000000"/>
                <w:sz w:val="22"/>
                <w:szCs w:val="22"/>
              </w:rPr>
            </w:pPr>
            <w:r>
              <w:rPr>
                <w:color w:val="000000"/>
                <w:sz w:val="22"/>
                <w:szCs w:val="22"/>
              </w:rPr>
              <w:t>32 (26.9%)</w:t>
            </w:r>
          </w:p>
        </w:tc>
      </w:tr>
      <w:tr w:rsidR="007E097D" w14:paraId="3BFE4B26" w14:textId="77777777" w:rsidTr="00C10C69">
        <w:trPr>
          <w:trHeight w:val="263"/>
        </w:trPr>
        <w:tc>
          <w:tcPr>
            <w:tcW w:w="6949" w:type="dxa"/>
            <w:tcBorders>
              <w:top w:val="nil"/>
              <w:left w:val="single" w:sz="4" w:space="0" w:color="auto"/>
              <w:bottom w:val="nil"/>
              <w:right w:val="nil"/>
            </w:tcBorders>
            <w:shd w:val="clear" w:color="auto" w:fill="auto"/>
            <w:noWrap/>
            <w:vAlign w:val="bottom"/>
            <w:hideMark/>
          </w:tcPr>
          <w:p w14:paraId="28BEBE52" w14:textId="77777777" w:rsidR="007E097D" w:rsidRDefault="007E097D">
            <w:pPr>
              <w:ind w:firstLineChars="100" w:firstLine="220"/>
              <w:rPr>
                <w:color w:val="000000"/>
                <w:sz w:val="22"/>
                <w:szCs w:val="22"/>
              </w:rPr>
            </w:pPr>
            <w:r>
              <w:rPr>
                <w:color w:val="000000"/>
                <w:sz w:val="22"/>
                <w:szCs w:val="22"/>
              </w:rPr>
              <w:t>Non-Hispanic Black</w:t>
            </w:r>
          </w:p>
        </w:tc>
        <w:tc>
          <w:tcPr>
            <w:tcW w:w="2879" w:type="dxa"/>
            <w:tcBorders>
              <w:top w:val="nil"/>
              <w:left w:val="single" w:sz="4" w:space="0" w:color="auto"/>
              <w:bottom w:val="nil"/>
              <w:right w:val="single" w:sz="4" w:space="0" w:color="auto"/>
            </w:tcBorders>
            <w:shd w:val="clear" w:color="auto" w:fill="auto"/>
            <w:noWrap/>
            <w:vAlign w:val="bottom"/>
            <w:hideMark/>
          </w:tcPr>
          <w:p w14:paraId="38980B82" w14:textId="77777777" w:rsidR="007E097D" w:rsidRDefault="007E097D">
            <w:pPr>
              <w:jc w:val="center"/>
              <w:rPr>
                <w:color w:val="000000"/>
                <w:sz w:val="22"/>
                <w:szCs w:val="22"/>
              </w:rPr>
            </w:pPr>
            <w:r>
              <w:rPr>
                <w:color w:val="000000"/>
                <w:sz w:val="22"/>
                <w:szCs w:val="22"/>
              </w:rPr>
              <w:t>42 (35.3%)</w:t>
            </w:r>
          </w:p>
        </w:tc>
      </w:tr>
      <w:tr w:rsidR="007E097D" w14:paraId="415BDFCE" w14:textId="77777777" w:rsidTr="00C10C69">
        <w:trPr>
          <w:trHeight w:val="263"/>
        </w:trPr>
        <w:tc>
          <w:tcPr>
            <w:tcW w:w="6949" w:type="dxa"/>
            <w:tcBorders>
              <w:top w:val="nil"/>
              <w:left w:val="single" w:sz="4" w:space="0" w:color="auto"/>
              <w:bottom w:val="nil"/>
              <w:right w:val="nil"/>
            </w:tcBorders>
            <w:shd w:val="clear" w:color="auto" w:fill="auto"/>
            <w:noWrap/>
            <w:vAlign w:val="bottom"/>
            <w:hideMark/>
          </w:tcPr>
          <w:p w14:paraId="2595D13D" w14:textId="77777777" w:rsidR="007E097D" w:rsidRDefault="007E097D">
            <w:pPr>
              <w:ind w:firstLineChars="100" w:firstLine="220"/>
              <w:rPr>
                <w:color w:val="000000"/>
                <w:sz w:val="22"/>
                <w:szCs w:val="22"/>
              </w:rPr>
            </w:pPr>
            <w:r>
              <w:rPr>
                <w:color w:val="000000"/>
                <w:sz w:val="22"/>
                <w:szCs w:val="22"/>
              </w:rPr>
              <w:t>Hispanic/Latinx</w:t>
            </w:r>
          </w:p>
        </w:tc>
        <w:tc>
          <w:tcPr>
            <w:tcW w:w="2879" w:type="dxa"/>
            <w:tcBorders>
              <w:top w:val="nil"/>
              <w:left w:val="single" w:sz="4" w:space="0" w:color="auto"/>
              <w:bottom w:val="nil"/>
              <w:right w:val="single" w:sz="4" w:space="0" w:color="auto"/>
            </w:tcBorders>
            <w:shd w:val="clear" w:color="auto" w:fill="auto"/>
            <w:noWrap/>
            <w:vAlign w:val="bottom"/>
            <w:hideMark/>
          </w:tcPr>
          <w:p w14:paraId="7F88E23B" w14:textId="77777777" w:rsidR="007E097D" w:rsidRDefault="007E097D">
            <w:pPr>
              <w:jc w:val="center"/>
              <w:rPr>
                <w:color w:val="000000"/>
                <w:sz w:val="22"/>
                <w:szCs w:val="22"/>
              </w:rPr>
            </w:pPr>
            <w:r>
              <w:rPr>
                <w:color w:val="000000"/>
                <w:sz w:val="22"/>
                <w:szCs w:val="22"/>
              </w:rPr>
              <w:t>22 (18.5%)</w:t>
            </w:r>
          </w:p>
        </w:tc>
      </w:tr>
      <w:tr w:rsidR="007E097D" w14:paraId="1C6D256B" w14:textId="77777777" w:rsidTr="00C10C69">
        <w:trPr>
          <w:trHeight w:val="263"/>
        </w:trPr>
        <w:tc>
          <w:tcPr>
            <w:tcW w:w="6949" w:type="dxa"/>
            <w:tcBorders>
              <w:top w:val="nil"/>
              <w:left w:val="single" w:sz="4" w:space="0" w:color="auto"/>
              <w:bottom w:val="nil"/>
              <w:right w:val="nil"/>
            </w:tcBorders>
            <w:shd w:val="clear" w:color="auto" w:fill="auto"/>
            <w:noWrap/>
            <w:vAlign w:val="bottom"/>
            <w:hideMark/>
          </w:tcPr>
          <w:p w14:paraId="7CA5AABD" w14:textId="77777777" w:rsidR="007E097D" w:rsidRDefault="007E097D">
            <w:pPr>
              <w:ind w:firstLineChars="100" w:firstLine="220"/>
              <w:rPr>
                <w:color w:val="000000"/>
                <w:sz w:val="22"/>
                <w:szCs w:val="22"/>
              </w:rPr>
            </w:pPr>
            <w:r>
              <w:rPr>
                <w:color w:val="000000"/>
                <w:sz w:val="22"/>
                <w:szCs w:val="22"/>
              </w:rPr>
              <w:t>Asian</w:t>
            </w:r>
          </w:p>
        </w:tc>
        <w:tc>
          <w:tcPr>
            <w:tcW w:w="2879" w:type="dxa"/>
            <w:tcBorders>
              <w:top w:val="nil"/>
              <w:left w:val="single" w:sz="4" w:space="0" w:color="auto"/>
              <w:bottom w:val="nil"/>
              <w:right w:val="single" w:sz="4" w:space="0" w:color="auto"/>
            </w:tcBorders>
            <w:shd w:val="clear" w:color="auto" w:fill="auto"/>
            <w:noWrap/>
            <w:vAlign w:val="bottom"/>
            <w:hideMark/>
          </w:tcPr>
          <w:p w14:paraId="7A940ABE" w14:textId="77777777" w:rsidR="007E097D" w:rsidRDefault="007E097D">
            <w:pPr>
              <w:jc w:val="center"/>
              <w:rPr>
                <w:color w:val="000000"/>
                <w:sz w:val="22"/>
                <w:szCs w:val="22"/>
              </w:rPr>
            </w:pPr>
            <w:r>
              <w:rPr>
                <w:color w:val="000000"/>
                <w:sz w:val="22"/>
                <w:szCs w:val="22"/>
              </w:rPr>
              <w:t>7 (5.9%)</w:t>
            </w:r>
          </w:p>
        </w:tc>
      </w:tr>
      <w:tr w:rsidR="007E097D" w14:paraId="79331932" w14:textId="77777777" w:rsidTr="00C10C69">
        <w:trPr>
          <w:trHeight w:val="263"/>
        </w:trPr>
        <w:tc>
          <w:tcPr>
            <w:tcW w:w="6949" w:type="dxa"/>
            <w:tcBorders>
              <w:top w:val="nil"/>
              <w:left w:val="single" w:sz="4" w:space="0" w:color="auto"/>
              <w:bottom w:val="single" w:sz="4" w:space="0" w:color="auto"/>
              <w:right w:val="nil"/>
            </w:tcBorders>
            <w:shd w:val="clear" w:color="auto" w:fill="auto"/>
            <w:noWrap/>
            <w:vAlign w:val="bottom"/>
            <w:hideMark/>
          </w:tcPr>
          <w:p w14:paraId="2241403B" w14:textId="77777777" w:rsidR="007E097D" w:rsidRDefault="007E097D">
            <w:pPr>
              <w:ind w:firstLineChars="100" w:firstLine="220"/>
              <w:rPr>
                <w:color w:val="000000"/>
                <w:sz w:val="22"/>
                <w:szCs w:val="22"/>
              </w:rPr>
            </w:pPr>
            <w:r>
              <w:rPr>
                <w:color w:val="000000"/>
                <w:sz w:val="22"/>
                <w:szCs w:val="22"/>
              </w:rPr>
              <w:t xml:space="preserve">Mixed, </w:t>
            </w:r>
            <w:proofErr w:type="gramStart"/>
            <w:r>
              <w:rPr>
                <w:color w:val="000000"/>
                <w:sz w:val="22"/>
                <w:szCs w:val="22"/>
              </w:rPr>
              <w:t>other</w:t>
            </w:r>
            <w:proofErr w:type="gramEnd"/>
            <w:r>
              <w:rPr>
                <w:color w:val="000000"/>
                <w:sz w:val="22"/>
                <w:szCs w:val="22"/>
              </w:rPr>
              <w:t xml:space="preserve"> or unknown</w:t>
            </w:r>
          </w:p>
        </w:tc>
        <w:tc>
          <w:tcPr>
            <w:tcW w:w="2879" w:type="dxa"/>
            <w:tcBorders>
              <w:top w:val="nil"/>
              <w:left w:val="single" w:sz="4" w:space="0" w:color="auto"/>
              <w:bottom w:val="single" w:sz="4" w:space="0" w:color="auto"/>
              <w:right w:val="single" w:sz="4" w:space="0" w:color="auto"/>
            </w:tcBorders>
            <w:shd w:val="clear" w:color="auto" w:fill="auto"/>
            <w:noWrap/>
            <w:vAlign w:val="bottom"/>
            <w:hideMark/>
          </w:tcPr>
          <w:p w14:paraId="3C49E06A" w14:textId="77777777" w:rsidR="007E097D" w:rsidRDefault="007E097D">
            <w:pPr>
              <w:jc w:val="center"/>
              <w:rPr>
                <w:color w:val="000000"/>
                <w:sz w:val="22"/>
                <w:szCs w:val="22"/>
              </w:rPr>
            </w:pPr>
            <w:r>
              <w:rPr>
                <w:color w:val="000000"/>
                <w:sz w:val="22"/>
                <w:szCs w:val="22"/>
              </w:rPr>
              <w:t>16 (13.5%)</w:t>
            </w:r>
          </w:p>
        </w:tc>
      </w:tr>
      <w:tr w:rsidR="007E097D" w14:paraId="212828D3" w14:textId="77777777" w:rsidTr="00C10C69">
        <w:trPr>
          <w:trHeight w:val="263"/>
        </w:trPr>
        <w:tc>
          <w:tcPr>
            <w:tcW w:w="6949" w:type="dxa"/>
            <w:tcBorders>
              <w:top w:val="nil"/>
              <w:left w:val="single" w:sz="4" w:space="0" w:color="auto"/>
              <w:bottom w:val="nil"/>
              <w:right w:val="nil"/>
            </w:tcBorders>
            <w:shd w:val="clear" w:color="auto" w:fill="auto"/>
            <w:vAlign w:val="center"/>
            <w:hideMark/>
          </w:tcPr>
          <w:p w14:paraId="385A9970" w14:textId="77777777" w:rsidR="007E097D" w:rsidRDefault="007E097D">
            <w:pPr>
              <w:rPr>
                <w:b/>
                <w:bCs/>
                <w:color w:val="000000"/>
                <w:sz w:val="22"/>
                <w:szCs w:val="22"/>
              </w:rPr>
            </w:pPr>
            <w:r>
              <w:rPr>
                <w:b/>
                <w:bCs/>
                <w:color w:val="000000"/>
                <w:sz w:val="22"/>
                <w:szCs w:val="22"/>
              </w:rPr>
              <w:t>Insurance Type</w:t>
            </w:r>
          </w:p>
        </w:tc>
        <w:tc>
          <w:tcPr>
            <w:tcW w:w="2879" w:type="dxa"/>
            <w:tcBorders>
              <w:top w:val="nil"/>
              <w:left w:val="single" w:sz="4" w:space="0" w:color="auto"/>
              <w:bottom w:val="nil"/>
              <w:right w:val="single" w:sz="4" w:space="0" w:color="auto"/>
            </w:tcBorders>
            <w:shd w:val="clear" w:color="auto" w:fill="auto"/>
            <w:noWrap/>
            <w:hideMark/>
          </w:tcPr>
          <w:p w14:paraId="06BD2459" w14:textId="77777777" w:rsidR="007E097D" w:rsidRDefault="007E097D">
            <w:pPr>
              <w:jc w:val="center"/>
              <w:rPr>
                <w:color w:val="000000"/>
                <w:sz w:val="22"/>
                <w:szCs w:val="22"/>
              </w:rPr>
            </w:pPr>
            <w:r>
              <w:rPr>
                <w:color w:val="000000"/>
                <w:sz w:val="22"/>
                <w:szCs w:val="22"/>
              </w:rPr>
              <w:t> </w:t>
            </w:r>
          </w:p>
        </w:tc>
      </w:tr>
      <w:tr w:rsidR="007E097D" w14:paraId="7DAE9672" w14:textId="77777777" w:rsidTr="00C10C69">
        <w:trPr>
          <w:trHeight w:val="263"/>
        </w:trPr>
        <w:tc>
          <w:tcPr>
            <w:tcW w:w="6949" w:type="dxa"/>
            <w:tcBorders>
              <w:top w:val="nil"/>
              <w:left w:val="single" w:sz="4" w:space="0" w:color="auto"/>
              <w:bottom w:val="nil"/>
              <w:right w:val="nil"/>
            </w:tcBorders>
            <w:shd w:val="clear" w:color="auto" w:fill="auto"/>
            <w:noWrap/>
            <w:vAlign w:val="bottom"/>
            <w:hideMark/>
          </w:tcPr>
          <w:p w14:paraId="1CB2ECDD" w14:textId="77777777" w:rsidR="007E097D" w:rsidRDefault="007E097D">
            <w:pPr>
              <w:ind w:firstLineChars="100" w:firstLine="220"/>
              <w:rPr>
                <w:color w:val="000000"/>
                <w:sz w:val="22"/>
                <w:szCs w:val="22"/>
              </w:rPr>
            </w:pPr>
            <w:r>
              <w:rPr>
                <w:color w:val="000000"/>
                <w:sz w:val="22"/>
                <w:szCs w:val="22"/>
              </w:rPr>
              <w:t>Any Public</w:t>
            </w:r>
          </w:p>
        </w:tc>
        <w:tc>
          <w:tcPr>
            <w:tcW w:w="2879" w:type="dxa"/>
            <w:tcBorders>
              <w:top w:val="nil"/>
              <w:left w:val="single" w:sz="4" w:space="0" w:color="auto"/>
              <w:bottom w:val="nil"/>
              <w:right w:val="single" w:sz="4" w:space="0" w:color="auto"/>
            </w:tcBorders>
            <w:shd w:val="clear" w:color="auto" w:fill="auto"/>
            <w:noWrap/>
            <w:vAlign w:val="bottom"/>
            <w:hideMark/>
          </w:tcPr>
          <w:p w14:paraId="17359555" w14:textId="77777777" w:rsidR="007E097D" w:rsidRDefault="007E097D">
            <w:pPr>
              <w:jc w:val="center"/>
              <w:rPr>
                <w:color w:val="000000"/>
                <w:sz w:val="22"/>
                <w:szCs w:val="22"/>
              </w:rPr>
            </w:pPr>
            <w:r>
              <w:rPr>
                <w:color w:val="000000"/>
                <w:sz w:val="22"/>
                <w:szCs w:val="22"/>
              </w:rPr>
              <w:t>80 (67.3%)</w:t>
            </w:r>
          </w:p>
        </w:tc>
      </w:tr>
      <w:tr w:rsidR="007E097D" w14:paraId="1E7137E9" w14:textId="77777777" w:rsidTr="00C10C69">
        <w:trPr>
          <w:trHeight w:val="263"/>
        </w:trPr>
        <w:tc>
          <w:tcPr>
            <w:tcW w:w="6949" w:type="dxa"/>
            <w:tcBorders>
              <w:top w:val="nil"/>
              <w:left w:val="single" w:sz="4" w:space="0" w:color="auto"/>
              <w:bottom w:val="nil"/>
              <w:right w:val="nil"/>
            </w:tcBorders>
            <w:shd w:val="clear" w:color="auto" w:fill="auto"/>
            <w:noWrap/>
            <w:vAlign w:val="bottom"/>
            <w:hideMark/>
          </w:tcPr>
          <w:p w14:paraId="2DCE98F0" w14:textId="77777777" w:rsidR="007E097D" w:rsidRDefault="007E097D">
            <w:pPr>
              <w:ind w:firstLineChars="100" w:firstLine="220"/>
              <w:rPr>
                <w:color w:val="000000"/>
                <w:sz w:val="22"/>
                <w:szCs w:val="22"/>
              </w:rPr>
            </w:pPr>
            <w:r>
              <w:rPr>
                <w:color w:val="000000"/>
                <w:sz w:val="22"/>
                <w:szCs w:val="22"/>
              </w:rPr>
              <w:t>Private only</w:t>
            </w:r>
          </w:p>
        </w:tc>
        <w:tc>
          <w:tcPr>
            <w:tcW w:w="2879" w:type="dxa"/>
            <w:tcBorders>
              <w:top w:val="nil"/>
              <w:left w:val="single" w:sz="4" w:space="0" w:color="auto"/>
              <w:bottom w:val="nil"/>
              <w:right w:val="single" w:sz="4" w:space="0" w:color="auto"/>
            </w:tcBorders>
            <w:shd w:val="clear" w:color="auto" w:fill="auto"/>
            <w:noWrap/>
            <w:vAlign w:val="bottom"/>
            <w:hideMark/>
          </w:tcPr>
          <w:p w14:paraId="69CDFD09" w14:textId="77777777" w:rsidR="007E097D" w:rsidRDefault="007E097D">
            <w:pPr>
              <w:jc w:val="center"/>
              <w:rPr>
                <w:color w:val="000000"/>
                <w:sz w:val="22"/>
                <w:szCs w:val="22"/>
              </w:rPr>
            </w:pPr>
            <w:r>
              <w:rPr>
                <w:color w:val="000000"/>
                <w:sz w:val="22"/>
                <w:szCs w:val="22"/>
              </w:rPr>
              <w:t>36 (30.3%)</w:t>
            </w:r>
          </w:p>
        </w:tc>
      </w:tr>
      <w:tr w:rsidR="007E097D" w14:paraId="0F04E360" w14:textId="77777777" w:rsidTr="00C10C69">
        <w:trPr>
          <w:trHeight w:val="263"/>
        </w:trPr>
        <w:tc>
          <w:tcPr>
            <w:tcW w:w="6949" w:type="dxa"/>
            <w:tcBorders>
              <w:top w:val="nil"/>
              <w:left w:val="single" w:sz="4" w:space="0" w:color="auto"/>
              <w:bottom w:val="nil"/>
              <w:right w:val="nil"/>
            </w:tcBorders>
            <w:shd w:val="clear" w:color="auto" w:fill="auto"/>
            <w:noWrap/>
            <w:vAlign w:val="bottom"/>
            <w:hideMark/>
          </w:tcPr>
          <w:p w14:paraId="787A9FDC" w14:textId="77777777" w:rsidR="007E097D" w:rsidRDefault="007E097D">
            <w:pPr>
              <w:ind w:firstLineChars="100" w:firstLine="220"/>
              <w:rPr>
                <w:color w:val="000000"/>
                <w:sz w:val="22"/>
                <w:szCs w:val="22"/>
              </w:rPr>
            </w:pPr>
            <w:r>
              <w:rPr>
                <w:color w:val="000000"/>
                <w:sz w:val="22"/>
                <w:szCs w:val="22"/>
              </w:rPr>
              <w:t>Other or unknown</w:t>
            </w:r>
          </w:p>
        </w:tc>
        <w:tc>
          <w:tcPr>
            <w:tcW w:w="2879" w:type="dxa"/>
            <w:tcBorders>
              <w:top w:val="nil"/>
              <w:left w:val="single" w:sz="4" w:space="0" w:color="auto"/>
              <w:bottom w:val="nil"/>
              <w:right w:val="single" w:sz="4" w:space="0" w:color="auto"/>
            </w:tcBorders>
            <w:shd w:val="clear" w:color="auto" w:fill="auto"/>
            <w:noWrap/>
            <w:vAlign w:val="bottom"/>
            <w:hideMark/>
          </w:tcPr>
          <w:p w14:paraId="1353C04C" w14:textId="77777777" w:rsidR="007E097D" w:rsidRDefault="007E097D">
            <w:pPr>
              <w:jc w:val="center"/>
              <w:rPr>
                <w:color w:val="000000"/>
                <w:sz w:val="22"/>
                <w:szCs w:val="22"/>
              </w:rPr>
            </w:pPr>
            <w:r>
              <w:rPr>
                <w:color w:val="000000"/>
                <w:sz w:val="22"/>
                <w:szCs w:val="22"/>
              </w:rPr>
              <w:t>3 (2.5%)</w:t>
            </w:r>
          </w:p>
        </w:tc>
      </w:tr>
      <w:tr w:rsidR="007E097D" w14:paraId="55540048" w14:textId="77777777" w:rsidTr="00C10C69">
        <w:trPr>
          <w:trHeight w:val="263"/>
        </w:trPr>
        <w:tc>
          <w:tcPr>
            <w:tcW w:w="6949" w:type="dxa"/>
            <w:tcBorders>
              <w:top w:val="single" w:sz="4" w:space="0" w:color="auto"/>
              <w:left w:val="single" w:sz="4" w:space="0" w:color="auto"/>
              <w:bottom w:val="nil"/>
              <w:right w:val="nil"/>
            </w:tcBorders>
            <w:shd w:val="clear" w:color="auto" w:fill="auto"/>
            <w:noWrap/>
            <w:vAlign w:val="bottom"/>
            <w:hideMark/>
          </w:tcPr>
          <w:p w14:paraId="4993A374" w14:textId="77777777" w:rsidR="007E097D" w:rsidRDefault="007E097D">
            <w:pPr>
              <w:rPr>
                <w:b/>
                <w:bCs/>
                <w:color w:val="000000"/>
                <w:sz w:val="22"/>
                <w:szCs w:val="22"/>
              </w:rPr>
            </w:pPr>
            <w:r>
              <w:rPr>
                <w:b/>
                <w:bCs/>
                <w:color w:val="000000"/>
                <w:sz w:val="22"/>
                <w:szCs w:val="22"/>
              </w:rPr>
              <w:t>Birth Information</w:t>
            </w:r>
          </w:p>
        </w:tc>
        <w:tc>
          <w:tcPr>
            <w:tcW w:w="2879" w:type="dxa"/>
            <w:tcBorders>
              <w:top w:val="single" w:sz="4" w:space="0" w:color="auto"/>
              <w:left w:val="single" w:sz="4" w:space="0" w:color="auto"/>
              <w:bottom w:val="nil"/>
              <w:right w:val="single" w:sz="4" w:space="0" w:color="auto"/>
            </w:tcBorders>
            <w:shd w:val="clear" w:color="auto" w:fill="auto"/>
            <w:noWrap/>
            <w:vAlign w:val="bottom"/>
            <w:hideMark/>
          </w:tcPr>
          <w:p w14:paraId="3FF28137" w14:textId="77777777" w:rsidR="007E097D" w:rsidRDefault="007E097D">
            <w:pPr>
              <w:jc w:val="center"/>
              <w:rPr>
                <w:color w:val="000000"/>
                <w:sz w:val="22"/>
                <w:szCs w:val="22"/>
              </w:rPr>
            </w:pPr>
            <w:r>
              <w:rPr>
                <w:color w:val="000000"/>
                <w:sz w:val="22"/>
                <w:szCs w:val="22"/>
              </w:rPr>
              <w:t> </w:t>
            </w:r>
          </w:p>
        </w:tc>
      </w:tr>
      <w:tr w:rsidR="007E097D" w14:paraId="31C702BA" w14:textId="77777777" w:rsidTr="00C10C69">
        <w:trPr>
          <w:trHeight w:val="263"/>
        </w:trPr>
        <w:tc>
          <w:tcPr>
            <w:tcW w:w="6949" w:type="dxa"/>
            <w:tcBorders>
              <w:top w:val="nil"/>
              <w:left w:val="single" w:sz="4" w:space="0" w:color="auto"/>
              <w:bottom w:val="nil"/>
              <w:right w:val="nil"/>
            </w:tcBorders>
            <w:shd w:val="clear" w:color="auto" w:fill="auto"/>
            <w:noWrap/>
            <w:vAlign w:val="bottom"/>
            <w:hideMark/>
          </w:tcPr>
          <w:p w14:paraId="129BBA2D" w14:textId="77777777" w:rsidR="007E097D" w:rsidRDefault="007E097D">
            <w:pPr>
              <w:ind w:firstLineChars="100" w:firstLine="220"/>
              <w:rPr>
                <w:color w:val="000000"/>
                <w:sz w:val="22"/>
                <w:szCs w:val="22"/>
              </w:rPr>
            </w:pPr>
            <w:r>
              <w:rPr>
                <w:color w:val="000000"/>
                <w:sz w:val="22"/>
                <w:szCs w:val="22"/>
              </w:rPr>
              <w:t>Gestational age, mean (SD)</w:t>
            </w:r>
          </w:p>
        </w:tc>
        <w:tc>
          <w:tcPr>
            <w:tcW w:w="2879" w:type="dxa"/>
            <w:tcBorders>
              <w:top w:val="nil"/>
              <w:left w:val="single" w:sz="4" w:space="0" w:color="auto"/>
              <w:bottom w:val="nil"/>
              <w:right w:val="single" w:sz="4" w:space="0" w:color="auto"/>
            </w:tcBorders>
            <w:shd w:val="clear" w:color="auto" w:fill="auto"/>
            <w:noWrap/>
            <w:vAlign w:val="bottom"/>
            <w:hideMark/>
          </w:tcPr>
          <w:p w14:paraId="7B421906" w14:textId="77777777" w:rsidR="007E097D" w:rsidRDefault="007E097D">
            <w:pPr>
              <w:jc w:val="center"/>
              <w:rPr>
                <w:color w:val="000000"/>
                <w:sz w:val="22"/>
                <w:szCs w:val="22"/>
              </w:rPr>
            </w:pPr>
            <w:r>
              <w:rPr>
                <w:color w:val="000000"/>
                <w:sz w:val="22"/>
                <w:szCs w:val="22"/>
              </w:rPr>
              <w:t xml:space="preserve">26.0 (1.9) </w:t>
            </w:r>
          </w:p>
        </w:tc>
      </w:tr>
      <w:tr w:rsidR="007E097D" w14:paraId="3EB7D247" w14:textId="77777777" w:rsidTr="00C10C69">
        <w:trPr>
          <w:trHeight w:val="263"/>
        </w:trPr>
        <w:tc>
          <w:tcPr>
            <w:tcW w:w="6949" w:type="dxa"/>
            <w:tcBorders>
              <w:top w:val="nil"/>
              <w:left w:val="single" w:sz="4" w:space="0" w:color="auto"/>
              <w:bottom w:val="nil"/>
              <w:right w:val="nil"/>
            </w:tcBorders>
            <w:shd w:val="clear" w:color="auto" w:fill="auto"/>
            <w:noWrap/>
            <w:vAlign w:val="bottom"/>
            <w:hideMark/>
          </w:tcPr>
          <w:p w14:paraId="3AC063AD" w14:textId="77777777" w:rsidR="007E097D" w:rsidRDefault="007E097D">
            <w:pPr>
              <w:ind w:firstLineChars="100" w:firstLine="220"/>
              <w:rPr>
                <w:color w:val="000000"/>
                <w:sz w:val="22"/>
                <w:szCs w:val="22"/>
              </w:rPr>
            </w:pPr>
            <w:r>
              <w:rPr>
                <w:color w:val="000000"/>
                <w:sz w:val="22"/>
                <w:szCs w:val="22"/>
              </w:rPr>
              <w:t>Corrected gestational age, mean (SD)</w:t>
            </w:r>
          </w:p>
        </w:tc>
        <w:tc>
          <w:tcPr>
            <w:tcW w:w="2879" w:type="dxa"/>
            <w:tcBorders>
              <w:top w:val="nil"/>
              <w:left w:val="single" w:sz="4" w:space="0" w:color="auto"/>
              <w:bottom w:val="nil"/>
              <w:right w:val="single" w:sz="4" w:space="0" w:color="auto"/>
            </w:tcBorders>
            <w:shd w:val="clear" w:color="auto" w:fill="auto"/>
            <w:noWrap/>
            <w:vAlign w:val="bottom"/>
            <w:hideMark/>
          </w:tcPr>
          <w:p w14:paraId="01BCAFFB" w14:textId="77777777" w:rsidR="007E097D" w:rsidRDefault="007E097D">
            <w:pPr>
              <w:jc w:val="center"/>
              <w:rPr>
                <w:color w:val="000000"/>
                <w:sz w:val="22"/>
                <w:szCs w:val="22"/>
              </w:rPr>
            </w:pPr>
            <w:r>
              <w:rPr>
                <w:color w:val="000000"/>
                <w:sz w:val="22"/>
                <w:szCs w:val="22"/>
              </w:rPr>
              <w:t xml:space="preserve">38.1 (19.3) </w:t>
            </w:r>
          </w:p>
        </w:tc>
      </w:tr>
      <w:tr w:rsidR="007E097D" w14:paraId="50357F28" w14:textId="77777777" w:rsidTr="00C10C69">
        <w:trPr>
          <w:trHeight w:val="263"/>
        </w:trPr>
        <w:tc>
          <w:tcPr>
            <w:tcW w:w="6949" w:type="dxa"/>
            <w:tcBorders>
              <w:top w:val="nil"/>
              <w:left w:val="single" w:sz="4" w:space="0" w:color="auto"/>
              <w:bottom w:val="single" w:sz="4" w:space="0" w:color="auto"/>
              <w:right w:val="nil"/>
            </w:tcBorders>
            <w:shd w:val="clear" w:color="auto" w:fill="auto"/>
            <w:noWrap/>
            <w:vAlign w:val="bottom"/>
            <w:hideMark/>
          </w:tcPr>
          <w:p w14:paraId="2D0ABA13" w14:textId="77777777" w:rsidR="007E097D" w:rsidRDefault="007E097D">
            <w:pPr>
              <w:ind w:firstLineChars="100" w:firstLine="220"/>
              <w:rPr>
                <w:color w:val="000000"/>
                <w:sz w:val="22"/>
                <w:szCs w:val="22"/>
              </w:rPr>
            </w:pPr>
            <w:r>
              <w:rPr>
                <w:color w:val="000000"/>
                <w:sz w:val="22"/>
                <w:szCs w:val="22"/>
              </w:rPr>
              <w:t>Birthweight, mean (SD)</w:t>
            </w:r>
          </w:p>
        </w:tc>
        <w:tc>
          <w:tcPr>
            <w:tcW w:w="2879" w:type="dxa"/>
            <w:tcBorders>
              <w:top w:val="nil"/>
              <w:left w:val="single" w:sz="4" w:space="0" w:color="auto"/>
              <w:bottom w:val="single" w:sz="4" w:space="0" w:color="auto"/>
              <w:right w:val="single" w:sz="4" w:space="0" w:color="auto"/>
            </w:tcBorders>
            <w:shd w:val="clear" w:color="auto" w:fill="auto"/>
            <w:noWrap/>
            <w:vAlign w:val="bottom"/>
            <w:hideMark/>
          </w:tcPr>
          <w:p w14:paraId="0F9131F0" w14:textId="77777777" w:rsidR="007E097D" w:rsidRDefault="007E097D">
            <w:pPr>
              <w:jc w:val="center"/>
              <w:rPr>
                <w:color w:val="000000"/>
                <w:sz w:val="22"/>
                <w:szCs w:val="22"/>
              </w:rPr>
            </w:pPr>
            <w:r>
              <w:rPr>
                <w:color w:val="000000"/>
                <w:sz w:val="22"/>
                <w:szCs w:val="22"/>
              </w:rPr>
              <w:t>765.5 (0.3)</w:t>
            </w:r>
          </w:p>
        </w:tc>
      </w:tr>
      <w:tr w:rsidR="007E097D" w14:paraId="0FA2B633" w14:textId="77777777" w:rsidTr="00C10C69">
        <w:trPr>
          <w:trHeight w:val="263"/>
        </w:trPr>
        <w:tc>
          <w:tcPr>
            <w:tcW w:w="6949" w:type="dxa"/>
            <w:tcBorders>
              <w:top w:val="nil"/>
              <w:left w:val="single" w:sz="4" w:space="0" w:color="auto"/>
              <w:bottom w:val="nil"/>
              <w:right w:val="nil"/>
            </w:tcBorders>
            <w:shd w:val="clear" w:color="auto" w:fill="auto"/>
            <w:noWrap/>
            <w:vAlign w:val="bottom"/>
            <w:hideMark/>
          </w:tcPr>
          <w:p w14:paraId="2F5BF980" w14:textId="77777777" w:rsidR="007E097D" w:rsidRDefault="007E097D">
            <w:pPr>
              <w:rPr>
                <w:b/>
                <w:bCs/>
                <w:color w:val="000000"/>
                <w:sz w:val="22"/>
                <w:szCs w:val="22"/>
              </w:rPr>
            </w:pPr>
            <w:r>
              <w:rPr>
                <w:b/>
                <w:bCs/>
                <w:color w:val="000000"/>
                <w:sz w:val="22"/>
                <w:szCs w:val="22"/>
              </w:rPr>
              <w:t>Comorbidities</w:t>
            </w:r>
          </w:p>
        </w:tc>
        <w:tc>
          <w:tcPr>
            <w:tcW w:w="2879" w:type="dxa"/>
            <w:tcBorders>
              <w:top w:val="nil"/>
              <w:left w:val="single" w:sz="4" w:space="0" w:color="auto"/>
              <w:bottom w:val="nil"/>
              <w:right w:val="single" w:sz="4" w:space="0" w:color="auto"/>
            </w:tcBorders>
            <w:shd w:val="clear" w:color="auto" w:fill="auto"/>
            <w:noWrap/>
            <w:vAlign w:val="bottom"/>
            <w:hideMark/>
          </w:tcPr>
          <w:p w14:paraId="767F606A" w14:textId="77777777" w:rsidR="007E097D" w:rsidRDefault="007E097D">
            <w:pPr>
              <w:jc w:val="center"/>
              <w:rPr>
                <w:color w:val="000000"/>
                <w:sz w:val="22"/>
                <w:szCs w:val="22"/>
              </w:rPr>
            </w:pPr>
            <w:r>
              <w:rPr>
                <w:color w:val="000000"/>
                <w:sz w:val="22"/>
                <w:szCs w:val="22"/>
              </w:rPr>
              <w:t> </w:t>
            </w:r>
          </w:p>
        </w:tc>
      </w:tr>
      <w:tr w:rsidR="007E097D" w14:paraId="29B2E772" w14:textId="77777777" w:rsidTr="00C10C69">
        <w:trPr>
          <w:trHeight w:val="263"/>
        </w:trPr>
        <w:tc>
          <w:tcPr>
            <w:tcW w:w="6949" w:type="dxa"/>
            <w:tcBorders>
              <w:top w:val="nil"/>
              <w:left w:val="single" w:sz="4" w:space="0" w:color="auto"/>
              <w:bottom w:val="nil"/>
              <w:right w:val="nil"/>
            </w:tcBorders>
            <w:shd w:val="clear" w:color="auto" w:fill="auto"/>
            <w:noWrap/>
            <w:vAlign w:val="bottom"/>
            <w:hideMark/>
          </w:tcPr>
          <w:p w14:paraId="70348762" w14:textId="77777777" w:rsidR="007E097D" w:rsidRDefault="007E097D">
            <w:pPr>
              <w:ind w:firstLineChars="100" w:firstLine="220"/>
              <w:rPr>
                <w:color w:val="000000"/>
                <w:sz w:val="22"/>
                <w:szCs w:val="22"/>
              </w:rPr>
            </w:pPr>
            <w:r>
              <w:rPr>
                <w:color w:val="000000"/>
                <w:sz w:val="22"/>
                <w:szCs w:val="22"/>
              </w:rPr>
              <w:t>Pulmonary hypertension ever</w:t>
            </w:r>
          </w:p>
        </w:tc>
        <w:tc>
          <w:tcPr>
            <w:tcW w:w="2879" w:type="dxa"/>
            <w:tcBorders>
              <w:top w:val="nil"/>
              <w:left w:val="single" w:sz="4" w:space="0" w:color="auto"/>
              <w:bottom w:val="nil"/>
              <w:right w:val="single" w:sz="4" w:space="0" w:color="auto"/>
            </w:tcBorders>
            <w:shd w:val="clear" w:color="auto" w:fill="auto"/>
            <w:noWrap/>
            <w:vAlign w:val="bottom"/>
            <w:hideMark/>
          </w:tcPr>
          <w:p w14:paraId="2A3AB808" w14:textId="77777777" w:rsidR="007E097D" w:rsidRDefault="007E097D">
            <w:pPr>
              <w:jc w:val="center"/>
              <w:rPr>
                <w:color w:val="000000"/>
                <w:sz w:val="22"/>
                <w:szCs w:val="22"/>
              </w:rPr>
            </w:pPr>
            <w:r>
              <w:rPr>
                <w:color w:val="000000"/>
                <w:sz w:val="22"/>
                <w:szCs w:val="22"/>
              </w:rPr>
              <w:t>91 (76.4%)</w:t>
            </w:r>
          </w:p>
        </w:tc>
      </w:tr>
      <w:tr w:rsidR="007E097D" w14:paraId="5D8932A1" w14:textId="77777777" w:rsidTr="00C10C69">
        <w:trPr>
          <w:trHeight w:val="263"/>
        </w:trPr>
        <w:tc>
          <w:tcPr>
            <w:tcW w:w="6949" w:type="dxa"/>
            <w:tcBorders>
              <w:top w:val="nil"/>
              <w:left w:val="single" w:sz="4" w:space="0" w:color="auto"/>
              <w:bottom w:val="nil"/>
              <w:right w:val="nil"/>
            </w:tcBorders>
            <w:shd w:val="clear" w:color="auto" w:fill="auto"/>
            <w:noWrap/>
            <w:vAlign w:val="bottom"/>
            <w:hideMark/>
          </w:tcPr>
          <w:p w14:paraId="4F65C067" w14:textId="77777777" w:rsidR="007E097D" w:rsidRDefault="007E097D">
            <w:pPr>
              <w:ind w:firstLineChars="100" w:firstLine="220"/>
              <w:rPr>
                <w:color w:val="000000"/>
                <w:sz w:val="22"/>
                <w:szCs w:val="22"/>
              </w:rPr>
            </w:pPr>
            <w:r>
              <w:rPr>
                <w:color w:val="000000"/>
                <w:sz w:val="22"/>
                <w:szCs w:val="22"/>
              </w:rPr>
              <w:t>Pulmonary hypertension at discharge</w:t>
            </w:r>
          </w:p>
        </w:tc>
        <w:tc>
          <w:tcPr>
            <w:tcW w:w="2879" w:type="dxa"/>
            <w:tcBorders>
              <w:top w:val="nil"/>
              <w:left w:val="single" w:sz="4" w:space="0" w:color="auto"/>
              <w:bottom w:val="nil"/>
              <w:right w:val="single" w:sz="4" w:space="0" w:color="auto"/>
            </w:tcBorders>
            <w:shd w:val="clear" w:color="auto" w:fill="auto"/>
            <w:noWrap/>
            <w:vAlign w:val="bottom"/>
            <w:hideMark/>
          </w:tcPr>
          <w:p w14:paraId="0D930DE8" w14:textId="77777777" w:rsidR="007E097D" w:rsidRDefault="007E097D">
            <w:pPr>
              <w:jc w:val="center"/>
              <w:rPr>
                <w:color w:val="000000"/>
                <w:sz w:val="22"/>
                <w:szCs w:val="22"/>
              </w:rPr>
            </w:pPr>
            <w:r>
              <w:rPr>
                <w:color w:val="000000"/>
                <w:sz w:val="22"/>
                <w:szCs w:val="22"/>
              </w:rPr>
              <w:t>68 (57.1%)</w:t>
            </w:r>
          </w:p>
        </w:tc>
      </w:tr>
      <w:tr w:rsidR="007E097D" w14:paraId="724C949B" w14:textId="77777777" w:rsidTr="00C10C69">
        <w:trPr>
          <w:trHeight w:val="263"/>
        </w:trPr>
        <w:tc>
          <w:tcPr>
            <w:tcW w:w="6949" w:type="dxa"/>
            <w:tcBorders>
              <w:top w:val="nil"/>
              <w:left w:val="single" w:sz="4" w:space="0" w:color="auto"/>
              <w:bottom w:val="nil"/>
              <w:right w:val="nil"/>
            </w:tcBorders>
            <w:shd w:val="clear" w:color="auto" w:fill="auto"/>
            <w:noWrap/>
            <w:vAlign w:val="bottom"/>
            <w:hideMark/>
          </w:tcPr>
          <w:p w14:paraId="736830EA" w14:textId="77777777" w:rsidR="007E097D" w:rsidRDefault="007E097D">
            <w:pPr>
              <w:ind w:firstLineChars="100" w:firstLine="220"/>
              <w:rPr>
                <w:color w:val="000000"/>
                <w:sz w:val="22"/>
                <w:szCs w:val="22"/>
              </w:rPr>
            </w:pPr>
            <w:r>
              <w:rPr>
                <w:color w:val="000000"/>
                <w:sz w:val="22"/>
                <w:szCs w:val="22"/>
              </w:rPr>
              <w:t>High-intensive neurologic impairment</w:t>
            </w:r>
          </w:p>
        </w:tc>
        <w:tc>
          <w:tcPr>
            <w:tcW w:w="2879" w:type="dxa"/>
            <w:tcBorders>
              <w:top w:val="nil"/>
              <w:left w:val="single" w:sz="4" w:space="0" w:color="auto"/>
              <w:bottom w:val="nil"/>
              <w:right w:val="single" w:sz="4" w:space="0" w:color="auto"/>
            </w:tcBorders>
            <w:shd w:val="clear" w:color="auto" w:fill="auto"/>
            <w:noWrap/>
            <w:vAlign w:val="bottom"/>
            <w:hideMark/>
          </w:tcPr>
          <w:p w14:paraId="7F296675" w14:textId="77777777" w:rsidR="007E097D" w:rsidRDefault="007E097D">
            <w:pPr>
              <w:jc w:val="center"/>
              <w:rPr>
                <w:rFonts w:ascii="Times Roman" w:hAnsi="Times Roman" w:cs="Calibri"/>
                <w:color w:val="000000"/>
                <w:sz w:val="22"/>
                <w:szCs w:val="22"/>
              </w:rPr>
            </w:pPr>
            <w:r>
              <w:rPr>
                <w:rFonts w:ascii="Times Roman" w:hAnsi="Times Roman" w:cs="Calibri"/>
                <w:color w:val="000000"/>
                <w:sz w:val="22"/>
                <w:szCs w:val="22"/>
              </w:rPr>
              <w:t>25 (21.0%)</w:t>
            </w:r>
          </w:p>
        </w:tc>
      </w:tr>
      <w:tr w:rsidR="007E097D" w14:paraId="2C89194C" w14:textId="77777777" w:rsidTr="00C10C69">
        <w:trPr>
          <w:trHeight w:val="263"/>
        </w:trPr>
        <w:tc>
          <w:tcPr>
            <w:tcW w:w="6949" w:type="dxa"/>
            <w:tcBorders>
              <w:top w:val="nil"/>
              <w:left w:val="single" w:sz="4" w:space="0" w:color="auto"/>
              <w:bottom w:val="single" w:sz="4" w:space="0" w:color="auto"/>
              <w:right w:val="nil"/>
            </w:tcBorders>
            <w:shd w:val="clear" w:color="auto" w:fill="auto"/>
            <w:noWrap/>
            <w:vAlign w:val="bottom"/>
            <w:hideMark/>
          </w:tcPr>
          <w:p w14:paraId="7EEDF31E" w14:textId="77777777" w:rsidR="007E097D" w:rsidRDefault="007E097D">
            <w:pPr>
              <w:ind w:firstLineChars="100" w:firstLine="220"/>
              <w:rPr>
                <w:color w:val="000000"/>
                <w:sz w:val="22"/>
                <w:szCs w:val="22"/>
              </w:rPr>
            </w:pPr>
            <w:r>
              <w:rPr>
                <w:color w:val="000000"/>
                <w:sz w:val="22"/>
                <w:szCs w:val="22"/>
              </w:rPr>
              <w:t>Complex congenital heart condition</w:t>
            </w:r>
          </w:p>
        </w:tc>
        <w:tc>
          <w:tcPr>
            <w:tcW w:w="2879" w:type="dxa"/>
            <w:tcBorders>
              <w:top w:val="nil"/>
              <w:left w:val="single" w:sz="4" w:space="0" w:color="auto"/>
              <w:bottom w:val="single" w:sz="4" w:space="0" w:color="auto"/>
              <w:right w:val="single" w:sz="4" w:space="0" w:color="auto"/>
            </w:tcBorders>
            <w:shd w:val="clear" w:color="auto" w:fill="auto"/>
            <w:noWrap/>
            <w:vAlign w:val="bottom"/>
            <w:hideMark/>
          </w:tcPr>
          <w:p w14:paraId="0994CCFF" w14:textId="77777777" w:rsidR="007E097D" w:rsidRDefault="007E097D">
            <w:pPr>
              <w:jc w:val="center"/>
              <w:rPr>
                <w:rFonts w:ascii="Times Roman" w:hAnsi="Times Roman" w:cs="Calibri"/>
                <w:color w:val="000000"/>
                <w:sz w:val="22"/>
                <w:szCs w:val="22"/>
              </w:rPr>
            </w:pPr>
            <w:r>
              <w:rPr>
                <w:rFonts w:ascii="Times Roman" w:hAnsi="Times Roman" w:cs="Calibri"/>
                <w:color w:val="000000"/>
                <w:sz w:val="22"/>
                <w:szCs w:val="22"/>
              </w:rPr>
              <w:t>15 (12.6%)</w:t>
            </w:r>
          </w:p>
        </w:tc>
      </w:tr>
      <w:tr w:rsidR="007E097D" w14:paraId="73D83612" w14:textId="77777777" w:rsidTr="00C10C69">
        <w:trPr>
          <w:trHeight w:val="263"/>
        </w:trPr>
        <w:tc>
          <w:tcPr>
            <w:tcW w:w="6949" w:type="dxa"/>
            <w:tcBorders>
              <w:top w:val="nil"/>
              <w:left w:val="single" w:sz="4" w:space="0" w:color="auto"/>
              <w:bottom w:val="nil"/>
              <w:right w:val="nil"/>
            </w:tcBorders>
            <w:shd w:val="clear" w:color="auto" w:fill="auto"/>
            <w:noWrap/>
            <w:vAlign w:val="bottom"/>
            <w:hideMark/>
          </w:tcPr>
          <w:p w14:paraId="229C371A" w14:textId="77777777" w:rsidR="007E097D" w:rsidRDefault="007E097D">
            <w:pPr>
              <w:rPr>
                <w:b/>
                <w:bCs/>
                <w:color w:val="000000"/>
                <w:sz w:val="22"/>
                <w:szCs w:val="22"/>
              </w:rPr>
            </w:pPr>
            <w:r>
              <w:rPr>
                <w:b/>
                <w:bCs/>
                <w:color w:val="000000"/>
                <w:sz w:val="22"/>
                <w:szCs w:val="22"/>
              </w:rPr>
              <w:t>Index Hospitalization Information</w:t>
            </w:r>
          </w:p>
        </w:tc>
        <w:tc>
          <w:tcPr>
            <w:tcW w:w="2879" w:type="dxa"/>
            <w:tcBorders>
              <w:top w:val="nil"/>
              <w:left w:val="single" w:sz="4" w:space="0" w:color="auto"/>
              <w:bottom w:val="nil"/>
              <w:right w:val="single" w:sz="4" w:space="0" w:color="auto"/>
            </w:tcBorders>
            <w:shd w:val="clear" w:color="auto" w:fill="auto"/>
            <w:noWrap/>
            <w:vAlign w:val="bottom"/>
            <w:hideMark/>
          </w:tcPr>
          <w:p w14:paraId="5DFAA6A7" w14:textId="77777777" w:rsidR="007E097D" w:rsidRDefault="007E097D">
            <w:pPr>
              <w:jc w:val="center"/>
              <w:rPr>
                <w:color w:val="000000"/>
                <w:sz w:val="22"/>
                <w:szCs w:val="22"/>
              </w:rPr>
            </w:pPr>
            <w:r>
              <w:rPr>
                <w:color w:val="000000"/>
                <w:sz w:val="22"/>
                <w:szCs w:val="22"/>
              </w:rPr>
              <w:t> </w:t>
            </w:r>
          </w:p>
        </w:tc>
      </w:tr>
      <w:tr w:rsidR="007E097D" w14:paraId="3800387D" w14:textId="77777777" w:rsidTr="00C10C69">
        <w:trPr>
          <w:trHeight w:val="263"/>
        </w:trPr>
        <w:tc>
          <w:tcPr>
            <w:tcW w:w="6949" w:type="dxa"/>
            <w:tcBorders>
              <w:top w:val="nil"/>
              <w:left w:val="single" w:sz="4" w:space="0" w:color="auto"/>
              <w:bottom w:val="nil"/>
              <w:right w:val="nil"/>
            </w:tcBorders>
            <w:shd w:val="clear" w:color="auto" w:fill="auto"/>
            <w:noWrap/>
            <w:vAlign w:val="bottom"/>
            <w:hideMark/>
          </w:tcPr>
          <w:p w14:paraId="489F55D6" w14:textId="77777777" w:rsidR="007E097D" w:rsidRDefault="007E097D">
            <w:pPr>
              <w:ind w:firstLineChars="100" w:firstLine="220"/>
              <w:rPr>
                <w:color w:val="000000"/>
                <w:sz w:val="22"/>
                <w:szCs w:val="22"/>
              </w:rPr>
            </w:pPr>
            <w:r>
              <w:rPr>
                <w:color w:val="000000"/>
                <w:sz w:val="22"/>
                <w:szCs w:val="22"/>
              </w:rPr>
              <w:t>Age at discharge (months), median (IQR)</w:t>
            </w:r>
          </w:p>
        </w:tc>
        <w:tc>
          <w:tcPr>
            <w:tcW w:w="2879" w:type="dxa"/>
            <w:tcBorders>
              <w:top w:val="nil"/>
              <w:left w:val="single" w:sz="4" w:space="0" w:color="auto"/>
              <w:bottom w:val="nil"/>
              <w:right w:val="single" w:sz="4" w:space="0" w:color="auto"/>
            </w:tcBorders>
            <w:shd w:val="clear" w:color="auto" w:fill="auto"/>
            <w:noWrap/>
            <w:hideMark/>
          </w:tcPr>
          <w:p w14:paraId="23ACD1FA" w14:textId="77777777" w:rsidR="007E097D" w:rsidRDefault="007E097D">
            <w:pPr>
              <w:jc w:val="center"/>
              <w:rPr>
                <w:color w:val="000000"/>
                <w:sz w:val="22"/>
                <w:szCs w:val="22"/>
              </w:rPr>
            </w:pPr>
            <w:r>
              <w:rPr>
                <w:color w:val="000000"/>
                <w:sz w:val="22"/>
                <w:szCs w:val="22"/>
              </w:rPr>
              <w:t>12.0 (8.9,14.4)</w:t>
            </w:r>
          </w:p>
        </w:tc>
      </w:tr>
      <w:tr w:rsidR="007E097D" w14:paraId="7913D9E8" w14:textId="77777777" w:rsidTr="00C10C69">
        <w:trPr>
          <w:trHeight w:val="263"/>
        </w:trPr>
        <w:tc>
          <w:tcPr>
            <w:tcW w:w="6949" w:type="dxa"/>
            <w:tcBorders>
              <w:top w:val="nil"/>
              <w:left w:val="single" w:sz="4" w:space="0" w:color="auto"/>
              <w:bottom w:val="nil"/>
              <w:right w:val="nil"/>
            </w:tcBorders>
            <w:shd w:val="clear" w:color="auto" w:fill="auto"/>
            <w:noWrap/>
            <w:vAlign w:val="bottom"/>
            <w:hideMark/>
          </w:tcPr>
          <w:p w14:paraId="7B83F6FD" w14:textId="77777777" w:rsidR="007E097D" w:rsidRDefault="007E097D">
            <w:pPr>
              <w:ind w:firstLineChars="100" w:firstLine="220"/>
              <w:rPr>
                <w:color w:val="000000"/>
                <w:sz w:val="22"/>
                <w:szCs w:val="22"/>
              </w:rPr>
            </w:pPr>
            <w:r>
              <w:rPr>
                <w:color w:val="000000"/>
                <w:sz w:val="22"/>
                <w:szCs w:val="22"/>
              </w:rPr>
              <w:t>Corrected tracheostomy age (weeks), median (SD)</w:t>
            </w:r>
          </w:p>
        </w:tc>
        <w:tc>
          <w:tcPr>
            <w:tcW w:w="2879" w:type="dxa"/>
            <w:tcBorders>
              <w:top w:val="nil"/>
              <w:left w:val="single" w:sz="4" w:space="0" w:color="auto"/>
              <w:bottom w:val="nil"/>
              <w:right w:val="single" w:sz="4" w:space="0" w:color="auto"/>
            </w:tcBorders>
            <w:shd w:val="clear" w:color="auto" w:fill="auto"/>
            <w:noWrap/>
            <w:vAlign w:val="center"/>
            <w:hideMark/>
          </w:tcPr>
          <w:p w14:paraId="10A7311D" w14:textId="77777777" w:rsidR="007E097D" w:rsidRDefault="007E097D">
            <w:pPr>
              <w:jc w:val="center"/>
              <w:rPr>
                <w:color w:val="000000"/>
                <w:sz w:val="22"/>
                <w:szCs w:val="22"/>
              </w:rPr>
            </w:pPr>
            <w:r>
              <w:rPr>
                <w:color w:val="000000"/>
                <w:sz w:val="22"/>
                <w:szCs w:val="22"/>
              </w:rPr>
              <w:t>37.9 (23.1)</w:t>
            </w:r>
            <w:r>
              <w:rPr>
                <w:color w:val="000000"/>
                <w:sz w:val="18"/>
                <w:szCs w:val="18"/>
              </w:rPr>
              <w:t> </w:t>
            </w:r>
          </w:p>
        </w:tc>
      </w:tr>
      <w:tr w:rsidR="007E097D" w14:paraId="5E2D52D5" w14:textId="77777777" w:rsidTr="00C10C69">
        <w:trPr>
          <w:trHeight w:val="263"/>
        </w:trPr>
        <w:tc>
          <w:tcPr>
            <w:tcW w:w="6949" w:type="dxa"/>
            <w:tcBorders>
              <w:top w:val="nil"/>
              <w:left w:val="single" w:sz="4" w:space="0" w:color="auto"/>
              <w:bottom w:val="nil"/>
              <w:right w:val="nil"/>
            </w:tcBorders>
            <w:shd w:val="clear" w:color="auto" w:fill="auto"/>
            <w:noWrap/>
            <w:vAlign w:val="bottom"/>
            <w:hideMark/>
          </w:tcPr>
          <w:p w14:paraId="099B9837" w14:textId="77777777" w:rsidR="007E097D" w:rsidRDefault="007E097D">
            <w:pPr>
              <w:ind w:firstLineChars="100" w:firstLine="220"/>
              <w:rPr>
                <w:color w:val="000000"/>
                <w:sz w:val="22"/>
                <w:szCs w:val="22"/>
              </w:rPr>
            </w:pPr>
            <w:r>
              <w:rPr>
                <w:color w:val="000000"/>
                <w:sz w:val="22"/>
                <w:szCs w:val="22"/>
              </w:rPr>
              <w:t>Oxygen use at discharge</w:t>
            </w:r>
          </w:p>
        </w:tc>
        <w:tc>
          <w:tcPr>
            <w:tcW w:w="2879" w:type="dxa"/>
            <w:tcBorders>
              <w:top w:val="nil"/>
              <w:left w:val="single" w:sz="4" w:space="0" w:color="auto"/>
              <w:bottom w:val="nil"/>
              <w:right w:val="single" w:sz="4" w:space="0" w:color="auto"/>
            </w:tcBorders>
            <w:shd w:val="clear" w:color="auto" w:fill="auto"/>
            <w:noWrap/>
            <w:vAlign w:val="bottom"/>
            <w:hideMark/>
          </w:tcPr>
          <w:p w14:paraId="312B1E11" w14:textId="77777777" w:rsidR="007E097D" w:rsidRDefault="007E097D">
            <w:pPr>
              <w:jc w:val="center"/>
              <w:rPr>
                <w:color w:val="000000"/>
                <w:sz w:val="22"/>
                <w:szCs w:val="22"/>
              </w:rPr>
            </w:pPr>
            <w:r>
              <w:rPr>
                <w:color w:val="000000"/>
                <w:sz w:val="22"/>
                <w:szCs w:val="22"/>
              </w:rPr>
              <w:t>59 (49.6%)</w:t>
            </w:r>
          </w:p>
        </w:tc>
      </w:tr>
      <w:tr w:rsidR="007E097D" w14:paraId="13DF5A22" w14:textId="77777777" w:rsidTr="00C10C69">
        <w:trPr>
          <w:trHeight w:val="263"/>
        </w:trPr>
        <w:tc>
          <w:tcPr>
            <w:tcW w:w="6949" w:type="dxa"/>
            <w:tcBorders>
              <w:top w:val="nil"/>
              <w:left w:val="single" w:sz="4" w:space="0" w:color="auto"/>
              <w:bottom w:val="nil"/>
              <w:right w:val="nil"/>
            </w:tcBorders>
            <w:shd w:val="clear" w:color="auto" w:fill="auto"/>
            <w:noWrap/>
            <w:vAlign w:val="bottom"/>
            <w:hideMark/>
          </w:tcPr>
          <w:p w14:paraId="0BCF9B5C" w14:textId="77777777" w:rsidR="007E097D" w:rsidRDefault="007E097D">
            <w:pPr>
              <w:ind w:firstLineChars="100" w:firstLine="220"/>
              <w:rPr>
                <w:color w:val="000000"/>
                <w:sz w:val="22"/>
                <w:szCs w:val="22"/>
              </w:rPr>
            </w:pPr>
            <w:r>
              <w:rPr>
                <w:color w:val="000000"/>
                <w:sz w:val="22"/>
                <w:szCs w:val="22"/>
              </w:rPr>
              <w:t>Length/Height Z score at discharge, mean (SD)</w:t>
            </w:r>
          </w:p>
        </w:tc>
        <w:tc>
          <w:tcPr>
            <w:tcW w:w="2879" w:type="dxa"/>
            <w:tcBorders>
              <w:top w:val="nil"/>
              <w:left w:val="single" w:sz="4" w:space="0" w:color="auto"/>
              <w:bottom w:val="nil"/>
              <w:right w:val="single" w:sz="4" w:space="0" w:color="auto"/>
            </w:tcBorders>
            <w:shd w:val="clear" w:color="auto" w:fill="auto"/>
            <w:noWrap/>
            <w:vAlign w:val="bottom"/>
            <w:hideMark/>
          </w:tcPr>
          <w:p w14:paraId="3687D411" w14:textId="77777777" w:rsidR="007E097D" w:rsidRDefault="007E097D">
            <w:pPr>
              <w:jc w:val="center"/>
              <w:rPr>
                <w:color w:val="000000"/>
                <w:sz w:val="22"/>
                <w:szCs w:val="22"/>
              </w:rPr>
            </w:pPr>
            <w:r>
              <w:rPr>
                <w:color w:val="000000"/>
                <w:sz w:val="22"/>
                <w:szCs w:val="22"/>
              </w:rPr>
              <w:t>-3.18 (SD 3.17)</w:t>
            </w:r>
          </w:p>
        </w:tc>
      </w:tr>
      <w:tr w:rsidR="007E097D" w14:paraId="1A7702C5" w14:textId="77777777" w:rsidTr="00C10C69">
        <w:trPr>
          <w:trHeight w:val="263"/>
        </w:trPr>
        <w:tc>
          <w:tcPr>
            <w:tcW w:w="6949" w:type="dxa"/>
            <w:tcBorders>
              <w:top w:val="nil"/>
              <w:left w:val="single" w:sz="4" w:space="0" w:color="auto"/>
              <w:bottom w:val="nil"/>
              <w:right w:val="nil"/>
            </w:tcBorders>
            <w:shd w:val="clear" w:color="auto" w:fill="auto"/>
            <w:noWrap/>
            <w:vAlign w:val="bottom"/>
            <w:hideMark/>
          </w:tcPr>
          <w:p w14:paraId="7A91888A" w14:textId="77777777" w:rsidR="007E097D" w:rsidRDefault="007E097D">
            <w:pPr>
              <w:ind w:firstLineChars="100" w:firstLine="220"/>
              <w:rPr>
                <w:color w:val="000000"/>
                <w:sz w:val="22"/>
                <w:szCs w:val="22"/>
              </w:rPr>
            </w:pPr>
            <w:r>
              <w:rPr>
                <w:color w:val="000000"/>
                <w:sz w:val="22"/>
                <w:szCs w:val="22"/>
              </w:rPr>
              <w:t>Proportion on ventilator 24/7 at discharge</w:t>
            </w:r>
          </w:p>
        </w:tc>
        <w:tc>
          <w:tcPr>
            <w:tcW w:w="2879" w:type="dxa"/>
            <w:tcBorders>
              <w:top w:val="nil"/>
              <w:left w:val="single" w:sz="4" w:space="0" w:color="auto"/>
              <w:bottom w:val="nil"/>
              <w:right w:val="single" w:sz="4" w:space="0" w:color="auto"/>
            </w:tcBorders>
            <w:shd w:val="clear" w:color="auto" w:fill="auto"/>
            <w:noWrap/>
            <w:vAlign w:val="bottom"/>
            <w:hideMark/>
          </w:tcPr>
          <w:p w14:paraId="3C300D32" w14:textId="77777777" w:rsidR="007E097D" w:rsidRDefault="007E097D">
            <w:pPr>
              <w:jc w:val="center"/>
              <w:rPr>
                <w:color w:val="000000"/>
                <w:sz w:val="22"/>
                <w:szCs w:val="22"/>
              </w:rPr>
            </w:pPr>
            <w:r>
              <w:rPr>
                <w:color w:val="000000"/>
                <w:sz w:val="22"/>
                <w:szCs w:val="22"/>
              </w:rPr>
              <w:t xml:space="preserve">108 (91%) </w:t>
            </w:r>
          </w:p>
        </w:tc>
      </w:tr>
      <w:tr w:rsidR="007E097D" w14:paraId="7CF8D217" w14:textId="77777777" w:rsidTr="00C10C69">
        <w:trPr>
          <w:trHeight w:val="263"/>
        </w:trPr>
        <w:tc>
          <w:tcPr>
            <w:tcW w:w="6949" w:type="dxa"/>
            <w:tcBorders>
              <w:top w:val="nil"/>
              <w:left w:val="single" w:sz="4" w:space="0" w:color="auto"/>
              <w:bottom w:val="single" w:sz="4" w:space="0" w:color="auto"/>
              <w:right w:val="nil"/>
            </w:tcBorders>
            <w:shd w:val="clear" w:color="auto" w:fill="auto"/>
            <w:noWrap/>
            <w:vAlign w:val="bottom"/>
            <w:hideMark/>
          </w:tcPr>
          <w:p w14:paraId="62B1FD9B" w14:textId="77777777" w:rsidR="007E097D" w:rsidRDefault="007E097D">
            <w:pPr>
              <w:ind w:firstLineChars="100" w:firstLine="220"/>
              <w:rPr>
                <w:color w:val="000000"/>
                <w:sz w:val="22"/>
                <w:szCs w:val="22"/>
              </w:rPr>
            </w:pPr>
            <w:r>
              <w:rPr>
                <w:color w:val="000000"/>
                <w:sz w:val="22"/>
                <w:szCs w:val="22"/>
              </w:rPr>
              <w:t>Level of ventilatory support at discharge ((L/kg/day), mean (SD)¥</w:t>
            </w:r>
          </w:p>
        </w:tc>
        <w:tc>
          <w:tcPr>
            <w:tcW w:w="2879" w:type="dxa"/>
            <w:tcBorders>
              <w:top w:val="nil"/>
              <w:left w:val="single" w:sz="4" w:space="0" w:color="auto"/>
              <w:bottom w:val="single" w:sz="4" w:space="0" w:color="auto"/>
              <w:right w:val="single" w:sz="4" w:space="0" w:color="auto"/>
            </w:tcBorders>
            <w:shd w:val="clear" w:color="auto" w:fill="auto"/>
            <w:noWrap/>
            <w:vAlign w:val="bottom"/>
            <w:hideMark/>
          </w:tcPr>
          <w:p w14:paraId="615B0C6E" w14:textId="77777777" w:rsidR="007E097D" w:rsidRDefault="007E097D">
            <w:pPr>
              <w:jc w:val="center"/>
              <w:rPr>
                <w:color w:val="000000"/>
                <w:sz w:val="22"/>
                <w:szCs w:val="22"/>
              </w:rPr>
            </w:pPr>
            <w:r>
              <w:rPr>
                <w:color w:val="000000"/>
                <w:sz w:val="22"/>
                <w:szCs w:val="22"/>
              </w:rPr>
              <w:t xml:space="preserve">3,309.6 (SD 1,275.0) </w:t>
            </w:r>
          </w:p>
        </w:tc>
      </w:tr>
      <w:tr w:rsidR="007E097D" w14:paraId="4765C3F1" w14:textId="77777777" w:rsidTr="00C10C69">
        <w:trPr>
          <w:trHeight w:val="263"/>
        </w:trPr>
        <w:tc>
          <w:tcPr>
            <w:tcW w:w="6949" w:type="dxa"/>
            <w:tcBorders>
              <w:top w:val="nil"/>
              <w:left w:val="single" w:sz="4" w:space="0" w:color="auto"/>
              <w:bottom w:val="nil"/>
              <w:right w:val="nil"/>
            </w:tcBorders>
            <w:shd w:val="clear" w:color="auto" w:fill="auto"/>
            <w:noWrap/>
            <w:vAlign w:val="bottom"/>
            <w:hideMark/>
          </w:tcPr>
          <w:p w14:paraId="70A0BF67" w14:textId="77777777" w:rsidR="007E097D" w:rsidRDefault="007E097D">
            <w:pPr>
              <w:rPr>
                <w:b/>
                <w:bCs/>
                <w:color w:val="000000"/>
                <w:sz w:val="22"/>
                <w:szCs w:val="22"/>
              </w:rPr>
            </w:pPr>
            <w:r>
              <w:rPr>
                <w:b/>
                <w:bCs/>
                <w:color w:val="000000"/>
                <w:sz w:val="22"/>
                <w:szCs w:val="22"/>
              </w:rPr>
              <w:t>Outpatient Primary Pulmonologist</w:t>
            </w:r>
          </w:p>
        </w:tc>
        <w:tc>
          <w:tcPr>
            <w:tcW w:w="2879" w:type="dxa"/>
            <w:tcBorders>
              <w:top w:val="nil"/>
              <w:left w:val="single" w:sz="4" w:space="0" w:color="auto"/>
              <w:bottom w:val="nil"/>
              <w:right w:val="single" w:sz="4" w:space="0" w:color="auto"/>
            </w:tcBorders>
            <w:shd w:val="clear" w:color="auto" w:fill="auto"/>
            <w:noWrap/>
            <w:vAlign w:val="bottom"/>
            <w:hideMark/>
          </w:tcPr>
          <w:p w14:paraId="61DBC6C8" w14:textId="77777777" w:rsidR="007E097D" w:rsidRDefault="007E097D">
            <w:pPr>
              <w:jc w:val="center"/>
              <w:rPr>
                <w:color w:val="000000"/>
                <w:sz w:val="22"/>
                <w:szCs w:val="22"/>
              </w:rPr>
            </w:pPr>
            <w:r>
              <w:rPr>
                <w:color w:val="000000"/>
                <w:sz w:val="22"/>
                <w:szCs w:val="22"/>
              </w:rPr>
              <w:t> </w:t>
            </w:r>
          </w:p>
        </w:tc>
      </w:tr>
      <w:tr w:rsidR="007E097D" w14:paraId="6DF09F68" w14:textId="77777777" w:rsidTr="00C10C69">
        <w:trPr>
          <w:trHeight w:val="263"/>
        </w:trPr>
        <w:tc>
          <w:tcPr>
            <w:tcW w:w="6949" w:type="dxa"/>
            <w:tcBorders>
              <w:top w:val="nil"/>
              <w:left w:val="single" w:sz="4" w:space="0" w:color="auto"/>
              <w:bottom w:val="nil"/>
              <w:right w:val="nil"/>
            </w:tcBorders>
            <w:shd w:val="clear" w:color="auto" w:fill="auto"/>
            <w:noWrap/>
            <w:vAlign w:val="center"/>
            <w:hideMark/>
          </w:tcPr>
          <w:p w14:paraId="261AD3DD" w14:textId="77777777" w:rsidR="007E097D" w:rsidRDefault="007E097D">
            <w:pPr>
              <w:ind w:firstLineChars="100" w:firstLine="220"/>
              <w:rPr>
                <w:color w:val="000000"/>
                <w:sz w:val="22"/>
                <w:szCs w:val="22"/>
              </w:rPr>
            </w:pPr>
            <w:r>
              <w:rPr>
                <w:color w:val="000000"/>
                <w:sz w:val="22"/>
                <w:szCs w:val="22"/>
              </w:rPr>
              <w:t>Pulmonologist A</w:t>
            </w:r>
          </w:p>
        </w:tc>
        <w:tc>
          <w:tcPr>
            <w:tcW w:w="2879" w:type="dxa"/>
            <w:tcBorders>
              <w:top w:val="nil"/>
              <w:left w:val="single" w:sz="4" w:space="0" w:color="auto"/>
              <w:bottom w:val="nil"/>
              <w:right w:val="single" w:sz="4" w:space="0" w:color="auto"/>
            </w:tcBorders>
            <w:shd w:val="clear" w:color="auto" w:fill="auto"/>
            <w:noWrap/>
            <w:vAlign w:val="bottom"/>
            <w:hideMark/>
          </w:tcPr>
          <w:p w14:paraId="6E3E7A8F" w14:textId="77777777" w:rsidR="007E097D" w:rsidRDefault="007E097D">
            <w:pPr>
              <w:jc w:val="center"/>
              <w:rPr>
                <w:color w:val="000000"/>
                <w:sz w:val="22"/>
                <w:szCs w:val="22"/>
              </w:rPr>
            </w:pPr>
            <w:r>
              <w:rPr>
                <w:color w:val="000000"/>
                <w:sz w:val="22"/>
                <w:szCs w:val="22"/>
              </w:rPr>
              <w:t>79 (66.4%)</w:t>
            </w:r>
          </w:p>
        </w:tc>
      </w:tr>
      <w:tr w:rsidR="007E097D" w14:paraId="016F3F69" w14:textId="77777777" w:rsidTr="00C10C69">
        <w:trPr>
          <w:trHeight w:val="263"/>
        </w:trPr>
        <w:tc>
          <w:tcPr>
            <w:tcW w:w="6949" w:type="dxa"/>
            <w:tcBorders>
              <w:top w:val="nil"/>
              <w:left w:val="single" w:sz="4" w:space="0" w:color="auto"/>
              <w:bottom w:val="nil"/>
              <w:right w:val="nil"/>
            </w:tcBorders>
            <w:shd w:val="clear" w:color="auto" w:fill="auto"/>
            <w:noWrap/>
            <w:vAlign w:val="center"/>
            <w:hideMark/>
          </w:tcPr>
          <w:p w14:paraId="43204281" w14:textId="77777777" w:rsidR="007E097D" w:rsidRDefault="007E097D">
            <w:pPr>
              <w:ind w:firstLineChars="100" w:firstLine="220"/>
              <w:rPr>
                <w:color w:val="000000"/>
                <w:sz w:val="22"/>
                <w:szCs w:val="22"/>
              </w:rPr>
            </w:pPr>
            <w:r>
              <w:rPr>
                <w:color w:val="000000"/>
                <w:sz w:val="22"/>
                <w:szCs w:val="22"/>
              </w:rPr>
              <w:t>Pulmonologist B</w:t>
            </w:r>
          </w:p>
        </w:tc>
        <w:tc>
          <w:tcPr>
            <w:tcW w:w="2879" w:type="dxa"/>
            <w:tcBorders>
              <w:top w:val="nil"/>
              <w:left w:val="single" w:sz="4" w:space="0" w:color="auto"/>
              <w:bottom w:val="nil"/>
              <w:right w:val="single" w:sz="4" w:space="0" w:color="auto"/>
            </w:tcBorders>
            <w:shd w:val="clear" w:color="auto" w:fill="auto"/>
            <w:noWrap/>
            <w:vAlign w:val="bottom"/>
            <w:hideMark/>
          </w:tcPr>
          <w:p w14:paraId="47A43417" w14:textId="77777777" w:rsidR="007E097D" w:rsidRDefault="007E097D">
            <w:pPr>
              <w:jc w:val="center"/>
              <w:rPr>
                <w:color w:val="000000"/>
                <w:sz w:val="22"/>
                <w:szCs w:val="22"/>
              </w:rPr>
            </w:pPr>
            <w:r>
              <w:rPr>
                <w:color w:val="000000"/>
                <w:sz w:val="22"/>
                <w:szCs w:val="22"/>
              </w:rPr>
              <w:t>29 (24.4%)</w:t>
            </w:r>
          </w:p>
        </w:tc>
      </w:tr>
      <w:tr w:rsidR="007E097D" w14:paraId="69B9E13D" w14:textId="77777777" w:rsidTr="00C10C69">
        <w:trPr>
          <w:trHeight w:val="263"/>
        </w:trPr>
        <w:tc>
          <w:tcPr>
            <w:tcW w:w="6949" w:type="dxa"/>
            <w:tcBorders>
              <w:top w:val="nil"/>
              <w:left w:val="single" w:sz="4" w:space="0" w:color="auto"/>
              <w:bottom w:val="single" w:sz="4" w:space="0" w:color="auto"/>
              <w:right w:val="nil"/>
            </w:tcBorders>
            <w:shd w:val="clear" w:color="auto" w:fill="auto"/>
            <w:noWrap/>
            <w:vAlign w:val="center"/>
            <w:hideMark/>
          </w:tcPr>
          <w:p w14:paraId="23E04596" w14:textId="77777777" w:rsidR="007E097D" w:rsidRDefault="007E097D">
            <w:pPr>
              <w:ind w:firstLineChars="100" w:firstLine="220"/>
              <w:rPr>
                <w:color w:val="000000"/>
                <w:sz w:val="22"/>
                <w:szCs w:val="22"/>
              </w:rPr>
            </w:pPr>
            <w:r>
              <w:rPr>
                <w:color w:val="000000"/>
                <w:sz w:val="22"/>
                <w:szCs w:val="22"/>
              </w:rPr>
              <w:t>Pulmonologists Grouped</w:t>
            </w:r>
          </w:p>
        </w:tc>
        <w:tc>
          <w:tcPr>
            <w:tcW w:w="2879" w:type="dxa"/>
            <w:tcBorders>
              <w:top w:val="nil"/>
              <w:left w:val="single" w:sz="4" w:space="0" w:color="auto"/>
              <w:bottom w:val="single" w:sz="4" w:space="0" w:color="auto"/>
              <w:right w:val="single" w:sz="4" w:space="0" w:color="auto"/>
            </w:tcBorders>
            <w:shd w:val="clear" w:color="auto" w:fill="auto"/>
            <w:noWrap/>
            <w:vAlign w:val="bottom"/>
            <w:hideMark/>
          </w:tcPr>
          <w:p w14:paraId="6DDA45EF" w14:textId="77777777" w:rsidR="007E097D" w:rsidRDefault="007E097D">
            <w:pPr>
              <w:jc w:val="center"/>
              <w:rPr>
                <w:color w:val="000000"/>
                <w:sz w:val="22"/>
                <w:szCs w:val="22"/>
              </w:rPr>
            </w:pPr>
            <w:r>
              <w:rPr>
                <w:color w:val="000000"/>
                <w:sz w:val="22"/>
                <w:szCs w:val="22"/>
              </w:rPr>
              <w:t>11 (9.2%)</w:t>
            </w:r>
          </w:p>
        </w:tc>
      </w:tr>
      <w:tr w:rsidR="007E097D" w14:paraId="01F17273" w14:textId="77777777" w:rsidTr="00C10C69">
        <w:trPr>
          <w:trHeight w:val="263"/>
        </w:trPr>
        <w:tc>
          <w:tcPr>
            <w:tcW w:w="6949" w:type="dxa"/>
            <w:tcBorders>
              <w:top w:val="nil"/>
              <w:left w:val="nil"/>
              <w:bottom w:val="nil"/>
              <w:right w:val="nil"/>
            </w:tcBorders>
            <w:shd w:val="clear" w:color="auto" w:fill="auto"/>
            <w:noWrap/>
            <w:vAlign w:val="center"/>
            <w:hideMark/>
          </w:tcPr>
          <w:p w14:paraId="1B02C9B0" w14:textId="77777777" w:rsidR="007E097D" w:rsidRDefault="007E097D">
            <w:pPr>
              <w:rPr>
                <w:color w:val="000000"/>
                <w:sz w:val="22"/>
                <w:szCs w:val="22"/>
              </w:rPr>
            </w:pPr>
            <w:r>
              <w:rPr>
                <w:color w:val="000000"/>
                <w:sz w:val="22"/>
                <w:szCs w:val="22"/>
              </w:rPr>
              <w:t>¥ Missing n=23.</w:t>
            </w:r>
          </w:p>
        </w:tc>
        <w:tc>
          <w:tcPr>
            <w:tcW w:w="2879" w:type="dxa"/>
            <w:tcBorders>
              <w:top w:val="nil"/>
              <w:left w:val="nil"/>
              <w:bottom w:val="nil"/>
              <w:right w:val="nil"/>
            </w:tcBorders>
            <w:shd w:val="clear" w:color="auto" w:fill="auto"/>
            <w:noWrap/>
            <w:vAlign w:val="bottom"/>
            <w:hideMark/>
          </w:tcPr>
          <w:p w14:paraId="55002753" w14:textId="77777777" w:rsidR="007E097D" w:rsidRDefault="007E097D">
            <w:pPr>
              <w:rPr>
                <w:color w:val="000000"/>
                <w:sz w:val="22"/>
                <w:szCs w:val="22"/>
              </w:rPr>
            </w:pPr>
          </w:p>
        </w:tc>
      </w:tr>
    </w:tbl>
    <w:p w14:paraId="26C04A58" w14:textId="77777777" w:rsidR="007E097D" w:rsidRDefault="007E097D">
      <w:pPr>
        <w:spacing w:line="259" w:lineRule="auto"/>
        <w:rPr>
          <w:rFonts w:eastAsia="Calibri"/>
          <w:b/>
          <w:bCs/>
        </w:rPr>
      </w:pPr>
      <w:r>
        <w:rPr>
          <w:rFonts w:eastAsia="Calibri"/>
          <w:b/>
          <w:bCs/>
        </w:rPr>
        <w:br w:type="page"/>
      </w:r>
    </w:p>
    <w:p w14:paraId="39F0DE06" w14:textId="77777777" w:rsidR="007E097D" w:rsidRDefault="007E097D" w:rsidP="00013E48">
      <w:pPr>
        <w:contextualSpacing/>
        <w:rPr>
          <w:rFonts w:eastAsia="Calibri"/>
          <w:b/>
          <w:bCs/>
        </w:rPr>
        <w:sectPr w:rsidR="007E097D" w:rsidSect="00E105DE">
          <w:type w:val="continuous"/>
          <w:pgSz w:w="12240" w:h="15840"/>
          <w:pgMar w:top="1440" w:right="1080" w:bottom="1440" w:left="1080" w:header="720" w:footer="720" w:gutter="0"/>
          <w:cols w:space="720"/>
          <w:docGrid w:linePitch="360"/>
        </w:sectPr>
      </w:pPr>
    </w:p>
    <w:p w14:paraId="688264AB" w14:textId="77777777" w:rsidR="007E097D" w:rsidRPr="00013E48" w:rsidRDefault="007E097D" w:rsidP="00013E48">
      <w:pPr>
        <w:contextualSpacing/>
        <w:rPr>
          <w:rFonts w:eastAsia="Calibri"/>
          <w:b/>
          <w:bCs/>
        </w:rPr>
      </w:pPr>
      <w:r w:rsidRPr="00013E48">
        <w:rPr>
          <w:rFonts w:eastAsia="Calibri"/>
          <w:b/>
          <w:bCs/>
        </w:rPr>
        <w:lastRenderedPageBreak/>
        <w:t xml:space="preserve">Table </w:t>
      </w:r>
      <w:r>
        <w:rPr>
          <w:rFonts w:eastAsia="Calibri"/>
          <w:b/>
          <w:bCs/>
        </w:rPr>
        <w:t>2</w:t>
      </w:r>
      <w:r w:rsidRPr="00013E48">
        <w:rPr>
          <w:rFonts w:eastAsia="Calibri"/>
          <w:b/>
          <w:bCs/>
        </w:rPr>
        <w:t xml:space="preserve">. </w:t>
      </w:r>
      <w:r>
        <w:rPr>
          <w:rFonts w:eastAsia="Calibri"/>
          <w:b/>
          <w:bCs/>
        </w:rPr>
        <w:t xml:space="preserve">Unadjusted </w:t>
      </w:r>
      <w:r w:rsidRPr="00D97291">
        <w:rPr>
          <w:rFonts w:eastAsia="Calibri"/>
          <w:b/>
          <w:bCs/>
        </w:rPr>
        <w:t>Cox Regression Analysis Invasive Home Mechanical Ventilation</w:t>
      </w:r>
      <w:r>
        <w:rPr>
          <w:rFonts w:eastAsia="Calibri"/>
          <w:b/>
          <w:bCs/>
        </w:rPr>
        <w:t xml:space="preserve"> Duration</w:t>
      </w:r>
    </w:p>
    <w:p w14:paraId="6D5CE1D0" w14:textId="77777777" w:rsidR="007E097D" w:rsidRDefault="007E097D" w:rsidP="00013E48">
      <w:pPr>
        <w:contextualSpacing/>
        <w:rPr>
          <w:rFonts w:eastAsia="Calibri"/>
        </w:rPr>
      </w:pPr>
    </w:p>
    <w:p w14:paraId="1F4FE5C5" w14:textId="77777777" w:rsidR="007E097D" w:rsidRPr="00013E48" w:rsidRDefault="007E097D" w:rsidP="00013E48">
      <w:pPr>
        <w:contextualSpacing/>
        <w:rPr>
          <w:rFonts w:eastAsia="Calibri"/>
        </w:rPr>
      </w:pPr>
      <w:r>
        <w:rPr>
          <w:rFonts w:eastAsia="Calibri"/>
        </w:rPr>
        <w:t xml:space="preserve">The table </w:t>
      </w:r>
      <w:r w:rsidRPr="00013E48">
        <w:rPr>
          <w:rFonts w:eastAsia="Calibri"/>
        </w:rPr>
        <w:t>shows 4 mutually exclusive outcomes in months: time to weaning off positive pressure of home mechanical ventilation (</w:t>
      </w:r>
      <w:proofErr w:type="spellStart"/>
      <w:r>
        <w:rPr>
          <w:rFonts w:eastAsia="Calibri"/>
        </w:rPr>
        <w:t>iHMV</w:t>
      </w:r>
      <w:proofErr w:type="spellEnd"/>
      <w:r w:rsidRPr="00013E48">
        <w:rPr>
          <w:rFonts w:eastAsia="Calibri"/>
        </w:rPr>
        <w:t xml:space="preserve">), ongoing use of </w:t>
      </w:r>
      <w:proofErr w:type="spellStart"/>
      <w:r>
        <w:rPr>
          <w:rFonts w:eastAsia="Calibri"/>
        </w:rPr>
        <w:t>iHMV</w:t>
      </w:r>
      <w:proofErr w:type="spellEnd"/>
      <w:r w:rsidRPr="00013E48">
        <w:rPr>
          <w:rFonts w:eastAsia="Calibri"/>
        </w:rPr>
        <w:t xml:space="preserve"> at time of study end, death or lost to follow-up</w:t>
      </w:r>
      <w:r>
        <w:rPr>
          <w:rFonts w:eastAsia="Calibri"/>
        </w:rPr>
        <w:t xml:space="preserve"> (N=119)</w:t>
      </w:r>
      <w:r w:rsidRPr="00013E48">
        <w:rPr>
          <w:rFonts w:eastAsia="Calibri"/>
        </w:rPr>
        <w:t>.</w:t>
      </w:r>
      <w:r>
        <w:rPr>
          <w:rFonts w:eastAsia="Calibri"/>
        </w:rPr>
        <w:t xml:space="preserve"> </w:t>
      </w:r>
    </w:p>
    <w:p w14:paraId="572E7E1F" w14:textId="77777777" w:rsidR="007E097D" w:rsidRDefault="007E097D" w:rsidP="00013E48">
      <w:pPr>
        <w:contextualSpacing/>
        <w:rPr>
          <w:rFonts w:eastAsia="Calibri"/>
          <w:b/>
          <w:bCs/>
        </w:rPr>
      </w:pPr>
    </w:p>
    <w:p w14:paraId="2DA95703" w14:textId="77777777" w:rsidR="007E097D" w:rsidRDefault="007E097D" w:rsidP="00013E48">
      <w:pPr>
        <w:contextualSpacing/>
        <w:rPr>
          <w:rFonts w:eastAsia="Calibri"/>
          <w:b/>
          <w:bCs/>
        </w:rPr>
      </w:pPr>
    </w:p>
    <w:tbl>
      <w:tblPr>
        <w:tblW w:w="13465" w:type="dxa"/>
        <w:tblInd w:w="-162" w:type="dxa"/>
        <w:tblLook w:val="04A0" w:firstRow="1" w:lastRow="0" w:firstColumn="1" w:lastColumn="0" w:noHBand="0" w:noVBand="1"/>
      </w:tblPr>
      <w:tblGrid>
        <w:gridCol w:w="4255"/>
        <w:gridCol w:w="1580"/>
        <w:gridCol w:w="1080"/>
        <w:gridCol w:w="1080"/>
        <w:gridCol w:w="1097"/>
        <w:gridCol w:w="1080"/>
        <w:gridCol w:w="1080"/>
        <w:gridCol w:w="1080"/>
        <w:gridCol w:w="1133"/>
      </w:tblGrid>
      <w:tr w:rsidR="007E097D" w:rsidRPr="00472C6D" w14:paraId="7A0868F7" w14:textId="77777777" w:rsidTr="00B42AE9">
        <w:trPr>
          <w:trHeight w:val="320"/>
        </w:trPr>
        <w:tc>
          <w:tcPr>
            <w:tcW w:w="4255" w:type="dxa"/>
            <w:tcBorders>
              <w:top w:val="single" w:sz="4" w:space="0" w:color="auto"/>
              <w:left w:val="single" w:sz="4" w:space="0" w:color="auto"/>
              <w:bottom w:val="nil"/>
              <w:right w:val="nil"/>
            </w:tcBorders>
            <w:shd w:val="clear" w:color="000000" w:fill="D9D9D9"/>
            <w:noWrap/>
            <w:vAlign w:val="bottom"/>
            <w:hideMark/>
          </w:tcPr>
          <w:p w14:paraId="547BC935" w14:textId="77777777" w:rsidR="007E097D" w:rsidRPr="00472C6D" w:rsidRDefault="007E097D" w:rsidP="00B42AE9">
            <w:pPr>
              <w:rPr>
                <w:b/>
                <w:bCs/>
                <w:color w:val="000000"/>
                <w:sz w:val="22"/>
              </w:rPr>
            </w:pPr>
            <w:r w:rsidRPr="00472C6D">
              <w:rPr>
                <w:b/>
                <w:bCs/>
                <w:color w:val="000000"/>
                <w:sz w:val="22"/>
              </w:rPr>
              <w:t>Patient outcomes</w:t>
            </w:r>
          </w:p>
        </w:tc>
        <w:tc>
          <w:tcPr>
            <w:tcW w:w="1580" w:type="dxa"/>
            <w:tcBorders>
              <w:top w:val="single" w:sz="4" w:space="0" w:color="auto"/>
              <w:left w:val="nil"/>
              <w:bottom w:val="nil"/>
              <w:right w:val="nil"/>
            </w:tcBorders>
            <w:shd w:val="clear" w:color="000000" w:fill="D9D9D9"/>
            <w:noWrap/>
            <w:vAlign w:val="bottom"/>
            <w:hideMark/>
          </w:tcPr>
          <w:p w14:paraId="2BE2DC28" w14:textId="77777777" w:rsidR="007E097D" w:rsidRPr="00472C6D" w:rsidRDefault="007E097D" w:rsidP="00B42AE9">
            <w:pPr>
              <w:jc w:val="center"/>
              <w:rPr>
                <w:color w:val="000000"/>
                <w:sz w:val="22"/>
              </w:rPr>
            </w:pPr>
            <w:r w:rsidRPr="00472C6D">
              <w:rPr>
                <w:color w:val="000000"/>
                <w:sz w:val="22"/>
              </w:rPr>
              <w:t>n (%)</w:t>
            </w:r>
          </w:p>
        </w:tc>
        <w:tc>
          <w:tcPr>
            <w:tcW w:w="1080" w:type="dxa"/>
            <w:tcBorders>
              <w:top w:val="single" w:sz="4" w:space="0" w:color="auto"/>
              <w:left w:val="nil"/>
              <w:bottom w:val="nil"/>
              <w:right w:val="nil"/>
            </w:tcBorders>
            <w:shd w:val="clear" w:color="000000" w:fill="D9D9D9"/>
            <w:noWrap/>
            <w:vAlign w:val="bottom"/>
            <w:hideMark/>
          </w:tcPr>
          <w:p w14:paraId="3924C592" w14:textId="77777777" w:rsidR="007E097D" w:rsidRPr="00472C6D" w:rsidRDefault="007E097D" w:rsidP="00B42AE9">
            <w:pPr>
              <w:jc w:val="right"/>
              <w:rPr>
                <w:color w:val="000000"/>
                <w:sz w:val="22"/>
              </w:rPr>
            </w:pPr>
            <w:r w:rsidRPr="00472C6D">
              <w:rPr>
                <w:color w:val="000000"/>
                <w:sz w:val="22"/>
              </w:rPr>
              <w:t>Mean</w:t>
            </w:r>
          </w:p>
        </w:tc>
        <w:tc>
          <w:tcPr>
            <w:tcW w:w="1080" w:type="dxa"/>
            <w:tcBorders>
              <w:top w:val="single" w:sz="4" w:space="0" w:color="auto"/>
              <w:left w:val="nil"/>
              <w:bottom w:val="nil"/>
              <w:right w:val="nil"/>
            </w:tcBorders>
            <w:shd w:val="clear" w:color="000000" w:fill="D9D9D9"/>
            <w:noWrap/>
            <w:vAlign w:val="bottom"/>
            <w:hideMark/>
          </w:tcPr>
          <w:p w14:paraId="52BC401D" w14:textId="77777777" w:rsidR="007E097D" w:rsidRPr="00472C6D" w:rsidRDefault="007E097D" w:rsidP="00B42AE9">
            <w:pPr>
              <w:jc w:val="right"/>
              <w:rPr>
                <w:color w:val="000000"/>
                <w:sz w:val="22"/>
              </w:rPr>
            </w:pPr>
            <w:r w:rsidRPr="00472C6D">
              <w:rPr>
                <w:color w:val="000000"/>
                <w:sz w:val="22"/>
              </w:rPr>
              <w:t>Std Dev</w:t>
            </w:r>
          </w:p>
        </w:tc>
        <w:tc>
          <w:tcPr>
            <w:tcW w:w="1097" w:type="dxa"/>
            <w:tcBorders>
              <w:top w:val="single" w:sz="4" w:space="0" w:color="auto"/>
              <w:left w:val="nil"/>
              <w:bottom w:val="nil"/>
              <w:right w:val="nil"/>
            </w:tcBorders>
            <w:shd w:val="clear" w:color="000000" w:fill="D9D9D9"/>
            <w:noWrap/>
            <w:vAlign w:val="bottom"/>
            <w:hideMark/>
          </w:tcPr>
          <w:p w14:paraId="1AF47CB8" w14:textId="77777777" w:rsidR="007E097D" w:rsidRPr="00472C6D" w:rsidRDefault="007E097D" w:rsidP="00B42AE9">
            <w:pPr>
              <w:jc w:val="right"/>
              <w:rPr>
                <w:color w:val="000000"/>
                <w:sz w:val="22"/>
              </w:rPr>
            </w:pPr>
            <w:r w:rsidRPr="00472C6D">
              <w:rPr>
                <w:color w:val="000000"/>
                <w:sz w:val="22"/>
              </w:rPr>
              <w:t>Minimum</w:t>
            </w:r>
          </w:p>
        </w:tc>
        <w:tc>
          <w:tcPr>
            <w:tcW w:w="1080" w:type="dxa"/>
            <w:tcBorders>
              <w:top w:val="single" w:sz="4" w:space="0" w:color="auto"/>
              <w:left w:val="nil"/>
              <w:bottom w:val="nil"/>
              <w:right w:val="nil"/>
            </w:tcBorders>
            <w:shd w:val="clear" w:color="000000" w:fill="D9D9D9"/>
            <w:noWrap/>
            <w:vAlign w:val="bottom"/>
            <w:hideMark/>
          </w:tcPr>
          <w:p w14:paraId="30614CB3" w14:textId="77777777" w:rsidR="007E097D" w:rsidRPr="00472C6D" w:rsidRDefault="007E097D" w:rsidP="00B42AE9">
            <w:pPr>
              <w:jc w:val="right"/>
              <w:rPr>
                <w:color w:val="000000"/>
                <w:sz w:val="22"/>
              </w:rPr>
            </w:pPr>
            <w:r w:rsidRPr="00472C6D">
              <w:rPr>
                <w:color w:val="000000"/>
                <w:sz w:val="22"/>
              </w:rPr>
              <w:t xml:space="preserve">25th </w:t>
            </w:r>
            <w:proofErr w:type="spellStart"/>
            <w:r w:rsidRPr="00472C6D">
              <w:rPr>
                <w:color w:val="000000"/>
                <w:sz w:val="22"/>
              </w:rPr>
              <w:t>Pctl</w:t>
            </w:r>
            <w:proofErr w:type="spellEnd"/>
          </w:p>
        </w:tc>
        <w:tc>
          <w:tcPr>
            <w:tcW w:w="1080" w:type="dxa"/>
            <w:tcBorders>
              <w:top w:val="single" w:sz="4" w:space="0" w:color="auto"/>
              <w:left w:val="nil"/>
              <w:bottom w:val="nil"/>
              <w:right w:val="nil"/>
            </w:tcBorders>
            <w:shd w:val="clear" w:color="000000" w:fill="D9D9D9"/>
            <w:noWrap/>
            <w:vAlign w:val="bottom"/>
            <w:hideMark/>
          </w:tcPr>
          <w:p w14:paraId="1FC84F2A" w14:textId="77777777" w:rsidR="007E097D" w:rsidRPr="00472C6D" w:rsidRDefault="007E097D" w:rsidP="00B42AE9">
            <w:pPr>
              <w:jc w:val="right"/>
              <w:rPr>
                <w:color w:val="000000"/>
                <w:sz w:val="22"/>
              </w:rPr>
            </w:pPr>
            <w:r w:rsidRPr="00472C6D">
              <w:rPr>
                <w:color w:val="000000"/>
                <w:sz w:val="22"/>
              </w:rPr>
              <w:t>Median</w:t>
            </w:r>
          </w:p>
        </w:tc>
        <w:tc>
          <w:tcPr>
            <w:tcW w:w="1080" w:type="dxa"/>
            <w:tcBorders>
              <w:top w:val="single" w:sz="4" w:space="0" w:color="auto"/>
              <w:left w:val="nil"/>
              <w:bottom w:val="nil"/>
              <w:right w:val="nil"/>
            </w:tcBorders>
            <w:shd w:val="clear" w:color="000000" w:fill="D9D9D9"/>
            <w:noWrap/>
            <w:vAlign w:val="bottom"/>
            <w:hideMark/>
          </w:tcPr>
          <w:p w14:paraId="6291B375" w14:textId="77777777" w:rsidR="007E097D" w:rsidRPr="00472C6D" w:rsidRDefault="007E097D" w:rsidP="00B42AE9">
            <w:pPr>
              <w:jc w:val="right"/>
              <w:rPr>
                <w:color w:val="000000"/>
                <w:sz w:val="22"/>
              </w:rPr>
            </w:pPr>
            <w:r w:rsidRPr="00472C6D">
              <w:rPr>
                <w:color w:val="000000"/>
                <w:sz w:val="22"/>
              </w:rPr>
              <w:t xml:space="preserve">75th </w:t>
            </w:r>
            <w:proofErr w:type="spellStart"/>
            <w:r w:rsidRPr="00472C6D">
              <w:rPr>
                <w:color w:val="000000"/>
                <w:sz w:val="22"/>
              </w:rPr>
              <w:t>Pctl</w:t>
            </w:r>
            <w:proofErr w:type="spellEnd"/>
          </w:p>
        </w:tc>
        <w:tc>
          <w:tcPr>
            <w:tcW w:w="1133" w:type="dxa"/>
            <w:tcBorders>
              <w:top w:val="single" w:sz="4" w:space="0" w:color="auto"/>
              <w:left w:val="nil"/>
              <w:bottom w:val="nil"/>
              <w:right w:val="single" w:sz="4" w:space="0" w:color="auto"/>
            </w:tcBorders>
            <w:shd w:val="clear" w:color="000000" w:fill="D9D9D9"/>
            <w:noWrap/>
            <w:vAlign w:val="bottom"/>
            <w:hideMark/>
          </w:tcPr>
          <w:p w14:paraId="0A9E67FF" w14:textId="77777777" w:rsidR="007E097D" w:rsidRPr="00472C6D" w:rsidRDefault="007E097D" w:rsidP="00B42AE9">
            <w:pPr>
              <w:jc w:val="right"/>
              <w:rPr>
                <w:color w:val="000000"/>
                <w:sz w:val="22"/>
              </w:rPr>
            </w:pPr>
            <w:r w:rsidRPr="00472C6D">
              <w:rPr>
                <w:color w:val="000000"/>
                <w:sz w:val="22"/>
              </w:rPr>
              <w:t>Maximum</w:t>
            </w:r>
          </w:p>
        </w:tc>
      </w:tr>
      <w:tr w:rsidR="007E097D" w:rsidRPr="00472C6D" w14:paraId="4394C329" w14:textId="77777777" w:rsidTr="00B42AE9">
        <w:trPr>
          <w:trHeight w:val="320"/>
        </w:trPr>
        <w:tc>
          <w:tcPr>
            <w:tcW w:w="4255" w:type="dxa"/>
            <w:tcBorders>
              <w:top w:val="nil"/>
              <w:left w:val="single" w:sz="4" w:space="0" w:color="auto"/>
              <w:bottom w:val="nil"/>
              <w:right w:val="nil"/>
            </w:tcBorders>
            <w:shd w:val="clear" w:color="auto" w:fill="auto"/>
            <w:noWrap/>
            <w:vAlign w:val="bottom"/>
            <w:hideMark/>
          </w:tcPr>
          <w:p w14:paraId="2FAFC8F0" w14:textId="77777777" w:rsidR="007E097D" w:rsidRPr="00472C6D" w:rsidRDefault="007E097D" w:rsidP="00B42AE9">
            <w:pPr>
              <w:rPr>
                <w:color w:val="000000"/>
                <w:sz w:val="22"/>
              </w:rPr>
            </w:pPr>
            <w:r w:rsidRPr="00472C6D">
              <w:rPr>
                <w:color w:val="000000"/>
                <w:sz w:val="22"/>
              </w:rPr>
              <w:t xml:space="preserve">Patients weaned off positive pressure </w:t>
            </w:r>
            <w:proofErr w:type="spellStart"/>
            <w:r>
              <w:rPr>
                <w:color w:val="000000"/>
                <w:sz w:val="22"/>
              </w:rPr>
              <w:t>iHMV</w:t>
            </w:r>
            <w:proofErr w:type="spellEnd"/>
          </w:p>
        </w:tc>
        <w:tc>
          <w:tcPr>
            <w:tcW w:w="1580" w:type="dxa"/>
            <w:tcBorders>
              <w:top w:val="nil"/>
              <w:left w:val="nil"/>
              <w:bottom w:val="nil"/>
              <w:right w:val="nil"/>
            </w:tcBorders>
            <w:shd w:val="clear" w:color="auto" w:fill="auto"/>
            <w:noWrap/>
            <w:hideMark/>
          </w:tcPr>
          <w:p w14:paraId="05BC66BF" w14:textId="77777777" w:rsidR="007E097D" w:rsidRPr="00472C6D" w:rsidRDefault="007E097D" w:rsidP="00B42AE9">
            <w:pPr>
              <w:jc w:val="center"/>
              <w:rPr>
                <w:color w:val="000000"/>
                <w:sz w:val="22"/>
              </w:rPr>
            </w:pPr>
            <w:r w:rsidRPr="00472C6D">
              <w:rPr>
                <w:color w:val="000000"/>
                <w:sz w:val="22"/>
              </w:rPr>
              <w:t>58 (49%)</w:t>
            </w:r>
          </w:p>
        </w:tc>
        <w:tc>
          <w:tcPr>
            <w:tcW w:w="1080" w:type="dxa"/>
            <w:tcBorders>
              <w:top w:val="nil"/>
              <w:left w:val="nil"/>
              <w:bottom w:val="nil"/>
              <w:right w:val="nil"/>
            </w:tcBorders>
            <w:shd w:val="clear" w:color="auto" w:fill="auto"/>
            <w:noWrap/>
            <w:vAlign w:val="bottom"/>
            <w:hideMark/>
          </w:tcPr>
          <w:p w14:paraId="27BE72C6" w14:textId="77777777" w:rsidR="007E097D" w:rsidRPr="00472C6D" w:rsidRDefault="007E097D" w:rsidP="00B42AE9">
            <w:pPr>
              <w:jc w:val="right"/>
              <w:rPr>
                <w:color w:val="000000"/>
                <w:sz w:val="22"/>
              </w:rPr>
            </w:pPr>
            <w:r w:rsidRPr="00472C6D">
              <w:rPr>
                <w:color w:val="000000"/>
                <w:sz w:val="22"/>
              </w:rPr>
              <w:t>29.69</w:t>
            </w:r>
          </w:p>
        </w:tc>
        <w:tc>
          <w:tcPr>
            <w:tcW w:w="1080" w:type="dxa"/>
            <w:tcBorders>
              <w:top w:val="nil"/>
              <w:left w:val="nil"/>
              <w:bottom w:val="nil"/>
              <w:right w:val="nil"/>
            </w:tcBorders>
            <w:shd w:val="clear" w:color="auto" w:fill="auto"/>
            <w:noWrap/>
            <w:vAlign w:val="bottom"/>
            <w:hideMark/>
          </w:tcPr>
          <w:p w14:paraId="5045D10C" w14:textId="77777777" w:rsidR="007E097D" w:rsidRPr="00472C6D" w:rsidRDefault="007E097D" w:rsidP="00B42AE9">
            <w:pPr>
              <w:jc w:val="right"/>
              <w:rPr>
                <w:color w:val="000000"/>
                <w:sz w:val="22"/>
              </w:rPr>
            </w:pPr>
            <w:r w:rsidRPr="00472C6D">
              <w:rPr>
                <w:color w:val="000000"/>
                <w:sz w:val="22"/>
              </w:rPr>
              <w:t>19.82</w:t>
            </w:r>
          </w:p>
        </w:tc>
        <w:tc>
          <w:tcPr>
            <w:tcW w:w="1097" w:type="dxa"/>
            <w:tcBorders>
              <w:top w:val="nil"/>
              <w:left w:val="nil"/>
              <w:bottom w:val="nil"/>
              <w:right w:val="nil"/>
            </w:tcBorders>
            <w:shd w:val="clear" w:color="auto" w:fill="auto"/>
            <w:noWrap/>
            <w:vAlign w:val="bottom"/>
            <w:hideMark/>
          </w:tcPr>
          <w:p w14:paraId="21719F44" w14:textId="77777777" w:rsidR="007E097D" w:rsidRPr="00472C6D" w:rsidRDefault="007E097D" w:rsidP="00B42AE9">
            <w:pPr>
              <w:jc w:val="right"/>
              <w:rPr>
                <w:color w:val="000000"/>
                <w:sz w:val="22"/>
              </w:rPr>
            </w:pPr>
            <w:r w:rsidRPr="00472C6D">
              <w:rPr>
                <w:color w:val="000000"/>
                <w:sz w:val="22"/>
              </w:rPr>
              <w:t>0.2</w:t>
            </w:r>
            <w:r>
              <w:rPr>
                <w:color w:val="000000"/>
                <w:sz w:val="22"/>
              </w:rPr>
              <w:t>0</w:t>
            </w:r>
          </w:p>
        </w:tc>
        <w:tc>
          <w:tcPr>
            <w:tcW w:w="1080" w:type="dxa"/>
            <w:tcBorders>
              <w:top w:val="nil"/>
              <w:left w:val="nil"/>
              <w:bottom w:val="nil"/>
              <w:right w:val="nil"/>
            </w:tcBorders>
            <w:shd w:val="clear" w:color="auto" w:fill="auto"/>
            <w:noWrap/>
            <w:vAlign w:val="bottom"/>
            <w:hideMark/>
          </w:tcPr>
          <w:p w14:paraId="1EF7A861" w14:textId="77777777" w:rsidR="007E097D" w:rsidRPr="00472C6D" w:rsidRDefault="007E097D" w:rsidP="00B42AE9">
            <w:pPr>
              <w:jc w:val="right"/>
              <w:rPr>
                <w:color w:val="000000"/>
                <w:sz w:val="22"/>
              </w:rPr>
            </w:pPr>
            <w:r w:rsidRPr="00472C6D">
              <w:rPr>
                <w:color w:val="000000"/>
                <w:sz w:val="22"/>
              </w:rPr>
              <w:t>16.67</w:t>
            </w:r>
          </w:p>
        </w:tc>
        <w:tc>
          <w:tcPr>
            <w:tcW w:w="1080" w:type="dxa"/>
            <w:tcBorders>
              <w:top w:val="nil"/>
              <w:left w:val="nil"/>
              <w:bottom w:val="nil"/>
              <w:right w:val="nil"/>
            </w:tcBorders>
            <w:shd w:val="clear" w:color="auto" w:fill="auto"/>
            <w:noWrap/>
            <w:vAlign w:val="bottom"/>
            <w:hideMark/>
          </w:tcPr>
          <w:p w14:paraId="1E035F51" w14:textId="77777777" w:rsidR="007E097D" w:rsidRPr="00472C6D" w:rsidRDefault="007E097D" w:rsidP="00B42AE9">
            <w:pPr>
              <w:jc w:val="right"/>
              <w:rPr>
                <w:color w:val="000000"/>
                <w:sz w:val="22"/>
              </w:rPr>
            </w:pPr>
            <w:r w:rsidRPr="00472C6D">
              <w:rPr>
                <w:color w:val="000000"/>
                <w:sz w:val="22"/>
              </w:rPr>
              <w:t>25.87</w:t>
            </w:r>
          </w:p>
        </w:tc>
        <w:tc>
          <w:tcPr>
            <w:tcW w:w="1080" w:type="dxa"/>
            <w:tcBorders>
              <w:top w:val="nil"/>
              <w:left w:val="nil"/>
              <w:bottom w:val="nil"/>
              <w:right w:val="nil"/>
            </w:tcBorders>
            <w:shd w:val="clear" w:color="auto" w:fill="auto"/>
            <w:noWrap/>
            <w:vAlign w:val="bottom"/>
            <w:hideMark/>
          </w:tcPr>
          <w:p w14:paraId="026C643F" w14:textId="77777777" w:rsidR="007E097D" w:rsidRPr="00472C6D" w:rsidRDefault="007E097D" w:rsidP="00B42AE9">
            <w:pPr>
              <w:jc w:val="right"/>
              <w:rPr>
                <w:color w:val="000000"/>
                <w:sz w:val="22"/>
              </w:rPr>
            </w:pPr>
            <w:r w:rsidRPr="00472C6D">
              <w:rPr>
                <w:color w:val="000000"/>
                <w:sz w:val="22"/>
              </w:rPr>
              <w:t>37.38</w:t>
            </w:r>
          </w:p>
        </w:tc>
        <w:tc>
          <w:tcPr>
            <w:tcW w:w="1133" w:type="dxa"/>
            <w:tcBorders>
              <w:top w:val="nil"/>
              <w:left w:val="nil"/>
              <w:bottom w:val="nil"/>
              <w:right w:val="single" w:sz="4" w:space="0" w:color="auto"/>
            </w:tcBorders>
            <w:shd w:val="clear" w:color="auto" w:fill="auto"/>
            <w:noWrap/>
            <w:vAlign w:val="bottom"/>
            <w:hideMark/>
          </w:tcPr>
          <w:p w14:paraId="134E72BF" w14:textId="77777777" w:rsidR="007E097D" w:rsidRPr="00472C6D" w:rsidRDefault="007E097D" w:rsidP="00B42AE9">
            <w:pPr>
              <w:jc w:val="right"/>
              <w:rPr>
                <w:color w:val="000000"/>
                <w:sz w:val="22"/>
              </w:rPr>
            </w:pPr>
            <w:r w:rsidRPr="00472C6D">
              <w:rPr>
                <w:color w:val="000000"/>
                <w:sz w:val="22"/>
              </w:rPr>
              <w:t>113.74</w:t>
            </w:r>
          </w:p>
        </w:tc>
      </w:tr>
      <w:tr w:rsidR="007E097D" w:rsidRPr="00472C6D" w14:paraId="3F91F2F3" w14:textId="77777777" w:rsidTr="00B42AE9">
        <w:trPr>
          <w:trHeight w:val="320"/>
        </w:trPr>
        <w:tc>
          <w:tcPr>
            <w:tcW w:w="4255" w:type="dxa"/>
            <w:tcBorders>
              <w:top w:val="nil"/>
              <w:left w:val="single" w:sz="4" w:space="0" w:color="auto"/>
              <w:bottom w:val="nil"/>
              <w:right w:val="nil"/>
            </w:tcBorders>
            <w:shd w:val="clear" w:color="auto" w:fill="auto"/>
            <w:noWrap/>
            <w:vAlign w:val="bottom"/>
            <w:hideMark/>
          </w:tcPr>
          <w:p w14:paraId="3D0FC819" w14:textId="77777777" w:rsidR="007E097D" w:rsidRPr="00472C6D" w:rsidRDefault="007E097D" w:rsidP="00B42AE9">
            <w:pPr>
              <w:rPr>
                <w:color w:val="000000"/>
                <w:sz w:val="22"/>
              </w:rPr>
            </w:pPr>
            <w:r w:rsidRPr="00472C6D">
              <w:rPr>
                <w:color w:val="000000"/>
                <w:sz w:val="22"/>
              </w:rPr>
              <w:t xml:space="preserve">Patients still on </w:t>
            </w:r>
            <w:proofErr w:type="spellStart"/>
            <w:r>
              <w:rPr>
                <w:color w:val="000000"/>
                <w:sz w:val="22"/>
              </w:rPr>
              <w:t>iHMV</w:t>
            </w:r>
            <w:proofErr w:type="spellEnd"/>
          </w:p>
        </w:tc>
        <w:tc>
          <w:tcPr>
            <w:tcW w:w="1580" w:type="dxa"/>
            <w:tcBorders>
              <w:top w:val="nil"/>
              <w:left w:val="nil"/>
              <w:bottom w:val="nil"/>
              <w:right w:val="nil"/>
            </w:tcBorders>
            <w:shd w:val="clear" w:color="auto" w:fill="auto"/>
            <w:noWrap/>
            <w:hideMark/>
          </w:tcPr>
          <w:p w14:paraId="217C3682" w14:textId="77777777" w:rsidR="007E097D" w:rsidRPr="00472C6D" w:rsidRDefault="007E097D" w:rsidP="00B42AE9">
            <w:pPr>
              <w:jc w:val="center"/>
              <w:rPr>
                <w:color w:val="000000"/>
                <w:sz w:val="22"/>
              </w:rPr>
            </w:pPr>
            <w:r w:rsidRPr="00472C6D">
              <w:rPr>
                <w:color w:val="000000"/>
                <w:sz w:val="22"/>
              </w:rPr>
              <w:t>38 (32%)</w:t>
            </w:r>
          </w:p>
        </w:tc>
        <w:tc>
          <w:tcPr>
            <w:tcW w:w="1080" w:type="dxa"/>
            <w:tcBorders>
              <w:top w:val="nil"/>
              <w:left w:val="nil"/>
              <w:bottom w:val="nil"/>
              <w:right w:val="nil"/>
            </w:tcBorders>
            <w:shd w:val="clear" w:color="auto" w:fill="auto"/>
            <w:noWrap/>
            <w:vAlign w:val="bottom"/>
            <w:hideMark/>
          </w:tcPr>
          <w:p w14:paraId="3543E162" w14:textId="77777777" w:rsidR="007E097D" w:rsidRPr="00472C6D" w:rsidRDefault="007E097D" w:rsidP="00B42AE9">
            <w:pPr>
              <w:jc w:val="right"/>
              <w:rPr>
                <w:color w:val="000000"/>
                <w:sz w:val="22"/>
              </w:rPr>
            </w:pPr>
            <w:r w:rsidRPr="00472C6D">
              <w:rPr>
                <w:color w:val="000000"/>
                <w:sz w:val="22"/>
              </w:rPr>
              <w:t>29.06</w:t>
            </w:r>
          </w:p>
        </w:tc>
        <w:tc>
          <w:tcPr>
            <w:tcW w:w="1080" w:type="dxa"/>
            <w:tcBorders>
              <w:top w:val="nil"/>
              <w:left w:val="nil"/>
              <w:bottom w:val="nil"/>
              <w:right w:val="nil"/>
            </w:tcBorders>
            <w:shd w:val="clear" w:color="auto" w:fill="auto"/>
            <w:noWrap/>
            <w:vAlign w:val="bottom"/>
            <w:hideMark/>
          </w:tcPr>
          <w:p w14:paraId="082A435F" w14:textId="77777777" w:rsidR="007E097D" w:rsidRPr="00472C6D" w:rsidRDefault="007E097D" w:rsidP="00B42AE9">
            <w:pPr>
              <w:jc w:val="right"/>
              <w:rPr>
                <w:color w:val="000000"/>
                <w:sz w:val="22"/>
              </w:rPr>
            </w:pPr>
            <w:r w:rsidRPr="00472C6D">
              <w:rPr>
                <w:color w:val="000000"/>
                <w:sz w:val="22"/>
              </w:rPr>
              <w:t>21.81</w:t>
            </w:r>
          </w:p>
        </w:tc>
        <w:tc>
          <w:tcPr>
            <w:tcW w:w="1097" w:type="dxa"/>
            <w:tcBorders>
              <w:top w:val="nil"/>
              <w:left w:val="nil"/>
              <w:bottom w:val="nil"/>
              <w:right w:val="nil"/>
            </w:tcBorders>
            <w:shd w:val="clear" w:color="auto" w:fill="auto"/>
            <w:noWrap/>
            <w:vAlign w:val="bottom"/>
            <w:hideMark/>
          </w:tcPr>
          <w:p w14:paraId="58675406" w14:textId="77777777" w:rsidR="007E097D" w:rsidRPr="00472C6D" w:rsidRDefault="007E097D" w:rsidP="00B42AE9">
            <w:pPr>
              <w:jc w:val="right"/>
              <w:rPr>
                <w:color w:val="000000"/>
                <w:sz w:val="22"/>
              </w:rPr>
            </w:pPr>
            <w:r w:rsidRPr="00472C6D">
              <w:rPr>
                <w:color w:val="000000"/>
                <w:sz w:val="22"/>
              </w:rPr>
              <w:t>4.14</w:t>
            </w:r>
          </w:p>
        </w:tc>
        <w:tc>
          <w:tcPr>
            <w:tcW w:w="1080" w:type="dxa"/>
            <w:tcBorders>
              <w:top w:val="nil"/>
              <w:left w:val="nil"/>
              <w:bottom w:val="nil"/>
              <w:right w:val="nil"/>
            </w:tcBorders>
            <w:shd w:val="clear" w:color="auto" w:fill="auto"/>
            <w:noWrap/>
            <w:vAlign w:val="bottom"/>
            <w:hideMark/>
          </w:tcPr>
          <w:p w14:paraId="0F0F5315" w14:textId="77777777" w:rsidR="007E097D" w:rsidRPr="00472C6D" w:rsidRDefault="007E097D" w:rsidP="00B42AE9">
            <w:pPr>
              <w:jc w:val="right"/>
              <w:rPr>
                <w:color w:val="000000"/>
                <w:sz w:val="22"/>
              </w:rPr>
            </w:pPr>
            <w:r w:rsidRPr="00472C6D">
              <w:rPr>
                <w:color w:val="000000"/>
                <w:sz w:val="22"/>
              </w:rPr>
              <w:t>14.04</w:t>
            </w:r>
          </w:p>
        </w:tc>
        <w:tc>
          <w:tcPr>
            <w:tcW w:w="1080" w:type="dxa"/>
            <w:tcBorders>
              <w:top w:val="nil"/>
              <w:left w:val="nil"/>
              <w:bottom w:val="nil"/>
              <w:right w:val="nil"/>
            </w:tcBorders>
            <w:shd w:val="clear" w:color="auto" w:fill="auto"/>
            <w:noWrap/>
            <w:vAlign w:val="bottom"/>
            <w:hideMark/>
          </w:tcPr>
          <w:p w14:paraId="59F30B7E" w14:textId="77777777" w:rsidR="007E097D" w:rsidRPr="00472C6D" w:rsidRDefault="007E097D" w:rsidP="00B42AE9">
            <w:pPr>
              <w:jc w:val="right"/>
              <w:rPr>
                <w:color w:val="000000"/>
                <w:sz w:val="22"/>
              </w:rPr>
            </w:pPr>
            <w:r w:rsidRPr="00472C6D">
              <w:rPr>
                <w:color w:val="000000"/>
                <w:sz w:val="22"/>
              </w:rPr>
              <w:t>23.64</w:t>
            </w:r>
          </w:p>
        </w:tc>
        <w:tc>
          <w:tcPr>
            <w:tcW w:w="1080" w:type="dxa"/>
            <w:tcBorders>
              <w:top w:val="nil"/>
              <w:left w:val="nil"/>
              <w:bottom w:val="nil"/>
              <w:right w:val="nil"/>
            </w:tcBorders>
            <w:shd w:val="clear" w:color="auto" w:fill="auto"/>
            <w:noWrap/>
            <w:vAlign w:val="bottom"/>
            <w:hideMark/>
          </w:tcPr>
          <w:p w14:paraId="5C0CC9D2" w14:textId="77777777" w:rsidR="007E097D" w:rsidRPr="00472C6D" w:rsidRDefault="007E097D" w:rsidP="00B42AE9">
            <w:pPr>
              <w:jc w:val="right"/>
              <w:rPr>
                <w:color w:val="000000"/>
                <w:sz w:val="22"/>
              </w:rPr>
            </w:pPr>
            <w:r w:rsidRPr="00472C6D">
              <w:rPr>
                <w:color w:val="000000"/>
                <w:sz w:val="22"/>
              </w:rPr>
              <w:t>32.38</w:t>
            </w:r>
          </w:p>
        </w:tc>
        <w:tc>
          <w:tcPr>
            <w:tcW w:w="1133" w:type="dxa"/>
            <w:tcBorders>
              <w:top w:val="nil"/>
              <w:left w:val="nil"/>
              <w:bottom w:val="nil"/>
              <w:right w:val="single" w:sz="4" w:space="0" w:color="auto"/>
            </w:tcBorders>
            <w:shd w:val="clear" w:color="auto" w:fill="auto"/>
            <w:noWrap/>
            <w:vAlign w:val="bottom"/>
            <w:hideMark/>
          </w:tcPr>
          <w:p w14:paraId="71A77073" w14:textId="77777777" w:rsidR="007E097D" w:rsidRPr="00472C6D" w:rsidRDefault="007E097D" w:rsidP="00B42AE9">
            <w:pPr>
              <w:jc w:val="right"/>
              <w:rPr>
                <w:color w:val="000000"/>
                <w:sz w:val="22"/>
              </w:rPr>
            </w:pPr>
            <w:r w:rsidRPr="00472C6D">
              <w:rPr>
                <w:color w:val="000000"/>
                <w:sz w:val="22"/>
              </w:rPr>
              <w:t>99.15</w:t>
            </w:r>
          </w:p>
        </w:tc>
      </w:tr>
      <w:tr w:rsidR="007E097D" w:rsidRPr="00472C6D" w14:paraId="61D6A164" w14:textId="77777777" w:rsidTr="00B42AE9">
        <w:trPr>
          <w:trHeight w:val="320"/>
        </w:trPr>
        <w:tc>
          <w:tcPr>
            <w:tcW w:w="4255" w:type="dxa"/>
            <w:tcBorders>
              <w:top w:val="nil"/>
              <w:left w:val="single" w:sz="4" w:space="0" w:color="auto"/>
              <w:bottom w:val="nil"/>
              <w:right w:val="nil"/>
            </w:tcBorders>
            <w:shd w:val="clear" w:color="auto" w:fill="auto"/>
            <w:noWrap/>
            <w:vAlign w:val="bottom"/>
            <w:hideMark/>
          </w:tcPr>
          <w:p w14:paraId="5D2221D4" w14:textId="77777777" w:rsidR="007E097D" w:rsidRPr="00472C6D" w:rsidRDefault="007E097D" w:rsidP="00B42AE9">
            <w:pPr>
              <w:rPr>
                <w:color w:val="000000"/>
                <w:sz w:val="22"/>
              </w:rPr>
            </w:pPr>
            <w:r w:rsidRPr="00472C6D">
              <w:rPr>
                <w:color w:val="000000"/>
                <w:sz w:val="22"/>
              </w:rPr>
              <w:t>Patients lost to follow-up</w:t>
            </w:r>
          </w:p>
        </w:tc>
        <w:tc>
          <w:tcPr>
            <w:tcW w:w="1580" w:type="dxa"/>
            <w:tcBorders>
              <w:top w:val="nil"/>
              <w:left w:val="nil"/>
              <w:bottom w:val="nil"/>
              <w:right w:val="nil"/>
            </w:tcBorders>
            <w:shd w:val="clear" w:color="auto" w:fill="auto"/>
            <w:noWrap/>
            <w:hideMark/>
          </w:tcPr>
          <w:p w14:paraId="01789BC9" w14:textId="77777777" w:rsidR="007E097D" w:rsidRPr="00472C6D" w:rsidRDefault="007E097D" w:rsidP="00B42AE9">
            <w:pPr>
              <w:jc w:val="center"/>
              <w:rPr>
                <w:color w:val="000000"/>
                <w:sz w:val="22"/>
              </w:rPr>
            </w:pPr>
            <w:r w:rsidRPr="00472C6D">
              <w:rPr>
                <w:color w:val="000000"/>
                <w:sz w:val="22"/>
              </w:rPr>
              <w:t>14 (12%)</w:t>
            </w:r>
          </w:p>
        </w:tc>
        <w:tc>
          <w:tcPr>
            <w:tcW w:w="1080" w:type="dxa"/>
            <w:tcBorders>
              <w:top w:val="nil"/>
              <w:left w:val="nil"/>
              <w:bottom w:val="nil"/>
              <w:right w:val="nil"/>
            </w:tcBorders>
            <w:shd w:val="clear" w:color="auto" w:fill="auto"/>
            <w:noWrap/>
            <w:vAlign w:val="bottom"/>
            <w:hideMark/>
          </w:tcPr>
          <w:p w14:paraId="0AFD125D" w14:textId="77777777" w:rsidR="007E097D" w:rsidRPr="00472C6D" w:rsidRDefault="007E097D" w:rsidP="00B42AE9">
            <w:pPr>
              <w:jc w:val="right"/>
              <w:rPr>
                <w:color w:val="000000"/>
                <w:sz w:val="22"/>
              </w:rPr>
            </w:pPr>
            <w:r w:rsidRPr="00472C6D">
              <w:rPr>
                <w:color w:val="000000"/>
                <w:sz w:val="22"/>
              </w:rPr>
              <w:t>20.05</w:t>
            </w:r>
          </w:p>
        </w:tc>
        <w:tc>
          <w:tcPr>
            <w:tcW w:w="1080" w:type="dxa"/>
            <w:tcBorders>
              <w:top w:val="nil"/>
              <w:left w:val="nil"/>
              <w:bottom w:val="nil"/>
              <w:right w:val="nil"/>
            </w:tcBorders>
            <w:shd w:val="clear" w:color="auto" w:fill="auto"/>
            <w:noWrap/>
            <w:vAlign w:val="bottom"/>
            <w:hideMark/>
          </w:tcPr>
          <w:p w14:paraId="29B630EF" w14:textId="77777777" w:rsidR="007E097D" w:rsidRPr="00472C6D" w:rsidRDefault="007E097D" w:rsidP="00B42AE9">
            <w:pPr>
              <w:jc w:val="right"/>
              <w:rPr>
                <w:color w:val="000000"/>
                <w:sz w:val="22"/>
              </w:rPr>
            </w:pPr>
            <w:r w:rsidRPr="00472C6D">
              <w:rPr>
                <w:color w:val="000000"/>
                <w:sz w:val="22"/>
              </w:rPr>
              <w:t>17.96</w:t>
            </w:r>
          </w:p>
        </w:tc>
        <w:tc>
          <w:tcPr>
            <w:tcW w:w="1097" w:type="dxa"/>
            <w:tcBorders>
              <w:top w:val="nil"/>
              <w:left w:val="nil"/>
              <w:bottom w:val="nil"/>
              <w:right w:val="nil"/>
            </w:tcBorders>
            <w:shd w:val="clear" w:color="auto" w:fill="auto"/>
            <w:noWrap/>
            <w:vAlign w:val="bottom"/>
            <w:hideMark/>
          </w:tcPr>
          <w:p w14:paraId="4D801A2D" w14:textId="77777777" w:rsidR="007E097D" w:rsidRPr="00472C6D" w:rsidRDefault="007E097D" w:rsidP="00B42AE9">
            <w:pPr>
              <w:jc w:val="right"/>
              <w:rPr>
                <w:color w:val="000000"/>
                <w:sz w:val="22"/>
              </w:rPr>
            </w:pPr>
            <w:r w:rsidRPr="00472C6D">
              <w:rPr>
                <w:color w:val="000000"/>
                <w:sz w:val="22"/>
              </w:rPr>
              <w:t>0.72</w:t>
            </w:r>
          </w:p>
        </w:tc>
        <w:tc>
          <w:tcPr>
            <w:tcW w:w="1080" w:type="dxa"/>
            <w:tcBorders>
              <w:top w:val="nil"/>
              <w:left w:val="nil"/>
              <w:bottom w:val="nil"/>
              <w:right w:val="nil"/>
            </w:tcBorders>
            <w:shd w:val="clear" w:color="auto" w:fill="auto"/>
            <w:noWrap/>
            <w:vAlign w:val="bottom"/>
            <w:hideMark/>
          </w:tcPr>
          <w:p w14:paraId="46790E45" w14:textId="77777777" w:rsidR="007E097D" w:rsidRPr="00472C6D" w:rsidRDefault="007E097D" w:rsidP="00B42AE9">
            <w:pPr>
              <w:jc w:val="right"/>
              <w:rPr>
                <w:color w:val="000000"/>
                <w:sz w:val="22"/>
              </w:rPr>
            </w:pPr>
            <w:r w:rsidRPr="00472C6D">
              <w:rPr>
                <w:color w:val="000000"/>
                <w:sz w:val="22"/>
              </w:rPr>
              <w:t>7.32</w:t>
            </w:r>
          </w:p>
        </w:tc>
        <w:tc>
          <w:tcPr>
            <w:tcW w:w="1080" w:type="dxa"/>
            <w:tcBorders>
              <w:top w:val="nil"/>
              <w:left w:val="nil"/>
              <w:bottom w:val="nil"/>
              <w:right w:val="nil"/>
            </w:tcBorders>
            <w:shd w:val="clear" w:color="auto" w:fill="auto"/>
            <w:noWrap/>
            <w:vAlign w:val="bottom"/>
            <w:hideMark/>
          </w:tcPr>
          <w:p w14:paraId="2D254E06" w14:textId="77777777" w:rsidR="007E097D" w:rsidRPr="00472C6D" w:rsidRDefault="007E097D" w:rsidP="00B42AE9">
            <w:pPr>
              <w:jc w:val="right"/>
              <w:rPr>
                <w:color w:val="000000"/>
                <w:sz w:val="22"/>
              </w:rPr>
            </w:pPr>
            <w:r w:rsidRPr="00472C6D">
              <w:rPr>
                <w:color w:val="000000"/>
                <w:sz w:val="22"/>
              </w:rPr>
              <w:t>16.08</w:t>
            </w:r>
          </w:p>
        </w:tc>
        <w:tc>
          <w:tcPr>
            <w:tcW w:w="1080" w:type="dxa"/>
            <w:tcBorders>
              <w:top w:val="nil"/>
              <w:left w:val="nil"/>
              <w:bottom w:val="nil"/>
              <w:right w:val="nil"/>
            </w:tcBorders>
            <w:shd w:val="clear" w:color="auto" w:fill="auto"/>
            <w:noWrap/>
            <w:vAlign w:val="bottom"/>
            <w:hideMark/>
          </w:tcPr>
          <w:p w14:paraId="0B2F17AC" w14:textId="77777777" w:rsidR="007E097D" w:rsidRPr="00472C6D" w:rsidRDefault="007E097D" w:rsidP="00B42AE9">
            <w:pPr>
              <w:jc w:val="right"/>
              <w:rPr>
                <w:color w:val="000000"/>
                <w:sz w:val="22"/>
              </w:rPr>
            </w:pPr>
            <w:r w:rsidRPr="00472C6D">
              <w:rPr>
                <w:color w:val="000000"/>
                <w:sz w:val="22"/>
              </w:rPr>
              <w:t>26.88</w:t>
            </w:r>
          </w:p>
        </w:tc>
        <w:tc>
          <w:tcPr>
            <w:tcW w:w="1133" w:type="dxa"/>
            <w:tcBorders>
              <w:top w:val="nil"/>
              <w:left w:val="nil"/>
              <w:bottom w:val="nil"/>
              <w:right w:val="single" w:sz="4" w:space="0" w:color="auto"/>
            </w:tcBorders>
            <w:shd w:val="clear" w:color="auto" w:fill="auto"/>
            <w:noWrap/>
            <w:vAlign w:val="bottom"/>
            <w:hideMark/>
          </w:tcPr>
          <w:p w14:paraId="28ABCCA5" w14:textId="77777777" w:rsidR="007E097D" w:rsidRPr="00472C6D" w:rsidRDefault="007E097D" w:rsidP="00B42AE9">
            <w:pPr>
              <w:jc w:val="right"/>
              <w:rPr>
                <w:color w:val="000000"/>
                <w:sz w:val="22"/>
              </w:rPr>
            </w:pPr>
            <w:r w:rsidRPr="00472C6D">
              <w:rPr>
                <w:color w:val="000000"/>
                <w:sz w:val="22"/>
              </w:rPr>
              <w:t>65.03</w:t>
            </w:r>
          </w:p>
        </w:tc>
      </w:tr>
      <w:tr w:rsidR="007E097D" w:rsidRPr="00472C6D" w14:paraId="664974DD" w14:textId="77777777" w:rsidTr="00B42AE9">
        <w:trPr>
          <w:trHeight w:val="320"/>
        </w:trPr>
        <w:tc>
          <w:tcPr>
            <w:tcW w:w="4255" w:type="dxa"/>
            <w:tcBorders>
              <w:top w:val="nil"/>
              <w:left w:val="single" w:sz="4" w:space="0" w:color="auto"/>
              <w:bottom w:val="single" w:sz="4" w:space="0" w:color="auto"/>
              <w:right w:val="nil"/>
            </w:tcBorders>
            <w:shd w:val="clear" w:color="auto" w:fill="auto"/>
            <w:noWrap/>
            <w:vAlign w:val="bottom"/>
            <w:hideMark/>
          </w:tcPr>
          <w:p w14:paraId="01FA762A" w14:textId="77777777" w:rsidR="007E097D" w:rsidRPr="00472C6D" w:rsidRDefault="007E097D" w:rsidP="00B42AE9">
            <w:pPr>
              <w:rPr>
                <w:color w:val="000000"/>
                <w:sz w:val="22"/>
              </w:rPr>
            </w:pPr>
            <w:r w:rsidRPr="00472C6D">
              <w:rPr>
                <w:color w:val="000000"/>
                <w:sz w:val="22"/>
              </w:rPr>
              <w:t xml:space="preserve">Patients who died after starting </w:t>
            </w:r>
            <w:proofErr w:type="spellStart"/>
            <w:r>
              <w:rPr>
                <w:color w:val="000000"/>
                <w:sz w:val="22"/>
              </w:rPr>
              <w:t>iHMV</w:t>
            </w:r>
            <w:proofErr w:type="spellEnd"/>
          </w:p>
        </w:tc>
        <w:tc>
          <w:tcPr>
            <w:tcW w:w="1580" w:type="dxa"/>
            <w:tcBorders>
              <w:top w:val="nil"/>
              <w:left w:val="nil"/>
              <w:bottom w:val="single" w:sz="4" w:space="0" w:color="auto"/>
              <w:right w:val="nil"/>
            </w:tcBorders>
            <w:shd w:val="clear" w:color="auto" w:fill="auto"/>
            <w:noWrap/>
            <w:hideMark/>
          </w:tcPr>
          <w:p w14:paraId="0093CDE7" w14:textId="77777777" w:rsidR="007E097D" w:rsidRPr="00472C6D" w:rsidRDefault="007E097D" w:rsidP="00B42AE9">
            <w:pPr>
              <w:jc w:val="center"/>
              <w:rPr>
                <w:color w:val="000000"/>
                <w:sz w:val="22"/>
              </w:rPr>
            </w:pPr>
            <w:r w:rsidRPr="00472C6D">
              <w:rPr>
                <w:color w:val="000000"/>
                <w:sz w:val="22"/>
              </w:rPr>
              <w:t>9 (7%)</w:t>
            </w:r>
          </w:p>
        </w:tc>
        <w:tc>
          <w:tcPr>
            <w:tcW w:w="1080" w:type="dxa"/>
            <w:tcBorders>
              <w:top w:val="nil"/>
              <w:left w:val="nil"/>
              <w:bottom w:val="single" w:sz="4" w:space="0" w:color="auto"/>
              <w:right w:val="nil"/>
            </w:tcBorders>
            <w:shd w:val="clear" w:color="auto" w:fill="auto"/>
            <w:noWrap/>
            <w:vAlign w:val="bottom"/>
            <w:hideMark/>
          </w:tcPr>
          <w:p w14:paraId="414EC394" w14:textId="77777777" w:rsidR="007E097D" w:rsidRPr="00472C6D" w:rsidRDefault="007E097D" w:rsidP="00B42AE9">
            <w:pPr>
              <w:jc w:val="right"/>
              <w:rPr>
                <w:color w:val="000000"/>
                <w:sz w:val="22"/>
              </w:rPr>
            </w:pPr>
            <w:r w:rsidRPr="00472C6D">
              <w:rPr>
                <w:color w:val="000000"/>
                <w:sz w:val="22"/>
              </w:rPr>
              <w:t>17.16</w:t>
            </w:r>
          </w:p>
        </w:tc>
        <w:tc>
          <w:tcPr>
            <w:tcW w:w="1080" w:type="dxa"/>
            <w:tcBorders>
              <w:top w:val="nil"/>
              <w:left w:val="nil"/>
              <w:bottom w:val="single" w:sz="4" w:space="0" w:color="auto"/>
              <w:right w:val="nil"/>
            </w:tcBorders>
            <w:shd w:val="clear" w:color="auto" w:fill="auto"/>
            <w:noWrap/>
            <w:vAlign w:val="bottom"/>
            <w:hideMark/>
          </w:tcPr>
          <w:p w14:paraId="05B1D922" w14:textId="77777777" w:rsidR="007E097D" w:rsidRPr="00472C6D" w:rsidRDefault="007E097D" w:rsidP="00B42AE9">
            <w:pPr>
              <w:jc w:val="right"/>
              <w:rPr>
                <w:color w:val="000000"/>
                <w:sz w:val="22"/>
              </w:rPr>
            </w:pPr>
            <w:r w:rsidRPr="00472C6D">
              <w:rPr>
                <w:color w:val="000000"/>
                <w:sz w:val="22"/>
              </w:rPr>
              <w:t>19.68</w:t>
            </w:r>
          </w:p>
        </w:tc>
        <w:tc>
          <w:tcPr>
            <w:tcW w:w="1097" w:type="dxa"/>
            <w:tcBorders>
              <w:top w:val="nil"/>
              <w:left w:val="nil"/>
              <w:bottom w:val="single" w:sz="4" w:space="0" w:color="auto"/>
              <w:right w:val="nil"/>
            </w:tcBorders>
            <w:shd w:val="clear" w:color="auto" w:fill="auto"/>
            <w:noWrap/>
            <w:vAlign w:val="bottom"/>
            <w:hideMark/>
          </w:tcPr>
          <w:p w14:paraId="12E3A1F4" w14:textId="77777777" w:rsidR="007E097D" w:rsidRPr="00472C6D" w:rsidRDefault="007E097D" w:rsidP="00B42AE9">
            <w:pPr>
              <w:jc w:val="right"/>
              <w:rPr>
                <w:color w:val="000000"/>
                <w:sz w:val="22"/>
              </w:rPr>
            </w:pPr>
            <w:r w:rsidRPr="00472C6D">
              <w:rPr>
                <w:color w:val="000000"/>
                <w:sz w:val="22"/>
              </w:rPr>
              <w:t>2.83</w:t>
            </w:r>
          </w:p>
        </w:tc>
        <w:tc>
          <w:tcPr>
            <w:tcW w:w="1080" w:type="dxa"/>
            <w:tcBorders>
              <w:top w:val="nil"/>
              <w:left w:val="nil"/>
              <w:bottom w:val="single" w:sz="4" w:space="0" w:color="auto"/>
              <w:right w:val="nil"/>
            </w:tcBorders>
            <w:shd w:val="clear" w:color="auto" w:fill="auto"/>
            <w:noWrap/>
            <w:vAlign w:val="bottom"/>
            <w:hideMark/>
          </w:tcPr>
          <w:p w14:paraId="41C8D4BF" w14:textId="77777777" w:rsidR="007E097D" w:rsidRPr="00472C6D" w:rsidRDefault="007E097D" w:rsidP="00B42AE9">
            <w:pPr>
              <w:jc w:val="right"/>
              <w:rPr>
                <w:color w:val="000000"/>
                <w:sz w:val="22"/>
              </w:rPr>
            </w:pPr>
            <w:r w:rsidRPr="00472C6D">
              <w:rPr>
                <w:color w:val="000000"/>
                <w:sz w:val="22"/>
              </w:rPr>
              <w:t>7.63</w:t>
            </w:r>
          </w:p>
        </w:tc>
        <w:tc>
          <w:tcPr>
            <w:tcW w:w="1080" w:type="dxa"/>
            <w:tcBorders>
              <w:top w:val="nil"/>
              <w:left w:val="nil"/>
              <w:bottom w:val="single" w:sz="4" w:space="0" w:color="auto"/>
              <w:right w:val="nil"/>
            </w:tcBorders>
            <w:shd w:val="clear" w:color="auto" w:fill="auto"/>
            <w:noWrap/>
            <w:vAlign w:val="bottom"/>
            <w:hideMark/>
          </w:tcPr>
          <w:p w14:paraId="50968BB0" w14:textId="77777777" w:rsidR="007E097D" w:rsidRPr="00472C6D" w:rsidRDefault="007E097D" w:rsidP="00B42AE9">
            <w:pPr>
              <w:jc w:val="right"/>
              <w:rPr>
                <w:color w:val="000000"/>
                <w:sz w:val="22"/>
              </w:rPr>
            </w:pPr>
            <w:r w:rsidRPr="00472C6D">
              <w:rPr>
                <w:color w:val="000000"/>
                <w:sz w:val="22"/>
              </w:rPr>
              <w:t>12.2</w:t>
            </w:r>
          </w:p>
        </w:tc>
        <w:tc>
          <w:tcPr>
            <w:tcW w:w="1080" w:type="dxa"/>
            <w:tcBorders>
              <w:top w:val="nil"/>
              <w:left w:val="nil"/>
              <w:bottom w:val="single" w:sz="4" w:space="0" w:color="auto"/>
              <w:right w:val="nil"/>
            </w:tcBorders>
            <w:shd w:val="clear" w:color="auto" w:fill="auto"/>
            <w:noWrap/>
            <w:vAlign w:val="bottom"/>
            <w:hideMark/>
          </w:tcPr>
          <w:p w14:paraId="3A79B2C8" w14:textId="77777777" w:rsidR="007E097D" w:rsidRPr="00472C6D" w:rsidRDefault="007E097D" w:rsidP="00B42AE9">
            <w:pPr>
              <w:jc w:val="right"/>
              <w:rPr>
                <w:color w:val="000000"/>
                <w:sz w:val="22"/>
              </w:rPr>
            </w:pPr>
            <w:r w:rsidRPr="00472C6D">
              <w:rPr>
                <w:color w:val="000000"/>
                <w:sz w:val="22"/>
              </w:rPr>
              <w:t>15.35</w:t>
            </w:r>
          </w:p>
        </w:tc>
        <w:tc>
          <w:tcPr>
            <w:tcW w:w="1133" w:type="dxa"/>
            <w:tcBorders>
              <w:top w:val="nil"/>
              <w:left w:val="nil"/>
              <w:bottom w:val="single" w:sz="4" w:space="0" w:color="auto"/>
              <w:right w:val="single" w:sz="4" w:space="0" w:color="auto"/>
            </w:tcBorders>
            <w:shd w:val="clear" w:color="auto" w:fill="auto"/>
            <w:noWrap/>
            <w:vAlign w:val="bottom"/>
            <w:hideMark/>
          </w:tcPr>
          <w:p w14:paraId="69CC864F" w14:textId="77777777" w:rsidR="007E097D" w:rsidRPr="00472C6D" w:rsidRDefault="007E097D" w:rsidP="00B42AE9">
            <w:pPr>
              <w:jc w:val="right"/>
              <w:rPr>
                <w:color w:val="000000"/>
                <w:sz w:val="22"/>
              </w:rPr>
            </w:pPr>
            <w:r w:rsidRPr="00472C6D">
              <w:rPr>
                <w:color w:val="000000"/>
                <w:sz w:val="22"/>
              </w:rPr>
              <w:t>67.52</w:t>
            </w:r>
          </w:p>
        </w:tc>
      </w:tr>
    </w:tbl>
    <w:p w14:paraId="2B153F44" w14:textId="77777777" w:rsidR="007E097D" w:rsidRDefault="007E097D" w:rsidP="00013E48">
      <w:pPr>
        <w:contextualSpacing/>
        <w:rPr>
          <w:rFonts w:eastAsia="Calibri"/>
          <w:b/>
          <w:bCs/>
        </w:rPr>
      </w:pPr>
    </w:p>
    <w:p w14:paraId="6928ECA4" w14:textId="77777777" w:rsidR="007E097D" w:rsidRDefault="007E097D" w:rsidP="002D6D43">
      <w:pPr>
        <w:contextualSpacing/>
        <w:rPr>
          <w:rFonts w:eastAsia="Calibri"/>
          <w:b/>
          <w:bCs/>
        </w:rPr>
        <w:sectPr w:rsidR="007E097D" w:rsidSect="002D6D43">
          <w:pgSz w:w="15840" w:h="12240" w:orient="landscape"/>
          <w:pgMar w:top="1080" w:right="1440" w:bottom="1080" w:left="1440" w:header="720" w:footer="720" w:gutter="0"/>
          <w:cols w:space="720"/>
          <w:docGrid w:linePitch="360"/>
        </w:sectPr>
      </w:pPr>
    </w:p>
    <w:p w14:paraId="620B40B8" w14:textId="77777777" w:rsidR="007E097D" w:rsidRDefault="007E097D" w:rsidP="002D6D43">
      <w:pPr>
        <w:contextualSpacing/>
        <w:rPr>
          <w:rFonts w:eastAsia="Calibri"/>
          <w:b/>
          <w:bCs/>
        </w:rPr>
        <w:sectPr w:rsidR="007E097D" w:rsidSect="002D6D43">
          <w:type w:val="continuous"/>
          <w:pgSz w:w="15840" w:h="12240" w:orient="landscape"/>
          <w:pgMar w:top="1080" w:right="1440" w:bottom="1080" w:left="1440" w:header="720" w:footer="720" w:gutter="0"/>
          <w:cols w:space="720"/>
          <w:docGrid w:linePitch="360"/>
        </w:sectPr>
      </w:pPr>
      <w:r>
        <w:rPr>
          <w:rFonts w:eastAsia="Calibri"/>
          <w:b/>
          <w:bCs/>
        </w:rPr>
        <w:br w:type="page"/>
      </w:r>
    </w:p>
    <w:p w14:paraId="64BEB752" w14:textId="77777777" w:rsidR="007E097D" w:rsidRPr="00013E48" w:rsidRDefault="007E097D" w:rsidP="002D6D43">
      <w:pPr>
        <w:contextualSpacing/>
        <w:rPr>
          <w:rFonts w:eastAsia="Calibri"/>
          <w:b/>
          <w:bCs/>
        </w:rPr>
      </w:pPr>
      <w:r w:rsidRPr="00013E48">
        <w:rPr>
          <w:rFonts w:eastAsia="Calibri"/>
          <w:b/>
          <w:bCs/>
        </w:rPr>
        <w:lastRenderedPageBreak/>
        <w:t xml:space="preserve">Table </w:t>
      </w:r>
      <w:r>
        <w:rPr>
          <w:rFonts w:eastAsia="Calibri"/>
          <w:b/>
          <w:bCs/>
        </w:rPr>
        <w:t>3</w:t>
      </w:r>
      <w:r w:rsidRPr="00013E48">
        <w:rPr>
          <w:rFonts w:eastAsia="Calibri"/>
          <w:b/>
          <w:bCs/>
        </w:rPr>
        <w:t xml:space="preserve">. </w:t>
      </w:r>
      <w:r>
        <w:rPr>
          <w:rFonts w:eastAsia="Calibri"/>
          <w:b/>
          <w:bCs/>
        </w:rPr>
        <w:t>Univariable Cox Regression Analysis of Home Mechanical Ventilation Duration</w:t>
      </w:r>
    </w:p>
    <w:p w14:paraId="038BB4E3" w14:textId="77777777" w:rsidR="007E097D" w:rsidRDefault="007E097D" w:rsidP="00013E48">
      <w:pPr>
        <w:contextualSpacing/>
        <w:rPr>
          <w:rFonts w:eastAsia="Calibri"/>
          <w:b/>
          <w:bCs/>
        </w:rPr>
      </w:pPr>
    </w:p>
    <w:p w14:paraId="21A711C1" w14:textId="77777777" w:rsidR="007E097D" w:rsidRDefault="007E097D" w:rsidP="007C26CD">
      <w:pPr>
        <w:contextualSpacing/>
        <w:rPr>
          <w:rFonts w:eastAsia="Calibri"/>
        </w:rPr>
      </w:pPr>
      <w:r w:rsidRPr="007C26CD">
        <w:rPr>
          <w:rFonts w:eastAsia="Calibri"/>
        </w:rPr>
        <w:t xml:space="preserve">Table shows </w:t>
      </w:r>
      <w:r>
        <w:rPr>
          <w:rFonts w:eastAsia="Calibri"/>
        </w:rPr>
        <w:t>univariable</w:t>
      </w:r>
      <w:r w:rsidRPr="007C26CD">
        <w:rPr>
          <w:rFonts w:eastAsia="Calibri"/>
        </w:rPr>
        <w:t xml:space="preserve"> hazard ratios comparing variables </w:t>
      </w:r>
      <w:r>
        <w:rPr>
          <w:rFonts w:eastAsia="Calibri"/>
        </w:rPr>
        <w:t xml:space="preserve">association </w:t>
      </w:r>
      <w:r w:rsidRPr="007C26CD">
        <w:rPr>
          <w:rFonts w:eastAsia="Calibri"/>
        </w:rPr>
        <w:t xml:space="preserve">with </w:t>
      </w:r>
      <w:r>
        <w:rPr>
          <w:rFonts w:eastAsia="Calibri"/>
        </w:rPr>
        <w:t>invasive home</w:t>
      </w:r>
      <w:r w:rsidRPr="007C26CD">
        <w:rPr>
          <w:rFonts w:eastAsia="Calibri"/>
        </w:rPr>
        <w:t xml:space="preserve"> mechanical ventilation</w:t>
      </w:r>
      <w:r>
        <w:rPr>
          <w:rFonts w:eastAsia="Calibri"/>
        </w:rPr>
        <w:t xml:space="preserve"> duration</w:t>
      </w:r>
      <w:r w:rsidRPr="007C26CD">
        <w:rPr>
          <w:rFonts w:eastAsia="Calibri"/>
        </w:rPr>
        <w:t>. 95% confidence intervals show in parentheses.</w:t>
      </w:r>
      <w:r>
        <w:rPr>
          <w:rFonts w:eastAsia="Calibri"/>
        </w:rPr>
        <w:t xml:space="preserve"> P&lt;0.05 was considered significant.</w:t>
      </w:r>
    </w:p>
    <w:tbl>
      <w:tblPr>
        <w:tblW w:w="10850" w:type="dxa"/>
        <w:tblLook w:val="04A0" w:firstRow="1" w:lastRow="0" w:firstColumn="1" w:lastColumn="0" w:noHBand="0" w:noVBand="1"/>
      </w:tblPr>
      <w:tblGrid>
        <w:gridCol w:w="6357"/>
        <w:gridCol w:w="2736"/>
        <w:gridCol w:w="1757"/>
      </w:tblGrid>
      <w:tr w:rsidR="007E097D" w14:paraId="5F2DAB44" w14:textId="77777777" w:rsidTr="00482372">
        <w:trPr>
          <w:trHeight w:val="316"/>
        </w:trPr>
        <w:tc>
          <w:tcPr>
            <w:tcW w:w="6357"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2160CFD0" w14:textId="77777777" w:rsidR="007E097D" w:rsidRDefault="007E097D">
            <w:pPr>
              <w:rPr>
                <w:b/>
                <w:bCs/>
                <w:color w:val="000000"/>
                <w:sz w:val="22"/>
                <w:szCs w:val="22"/>
              </w:rPr>
            </w:pPr>
            <w:r>
              <w:rPr>
                <w:b/>
                <w:bCs/>
                <w:color w:val="000000"/>
                <w:sz w:val="22"/>
                <w:szCs w:val="22"/>
              </w:rPr>
              <w:t>Patient-level factors</w:t>
            </w:r>
          </w:p>
        </w:tc>
        <w:tc>
          <w:tcPr>
            <w:tcW w:w="2736" w:type="dxa"/>
            <w:tcBorders>
              <w:top w:val="single" w:sz="4" w:space="0" w:color="auto"/>
              <w:left w:val="nil"/>
              <w:bottom w:val="single" w:sz="4" w:space="0" w:color="auto"/>
              <w:right w:val="single" w:sz="4" w:space="0" w:color="auto"/>
            </w:tcBorders>
            <w:shd w:val="clear" w:color="000000" w:fill="D9D9D9"/>
            <w:noWrap/>
            <w:vAlign w:val="bottom"/>
            <w:hideMark/>
          </w:tcPr>
          <w:p w14:paraId="1A1128F8" w14:textId="77777777" w:rsidR="007E097D" w:rsidRDefault="007E097D">
            <w:pPr>
              <w:jc w:val="center"/>
              <w:rPr>
                <w:b/>
                <w:bCs/>
                <w:color w:val="000000"/>
                <w:sz w:val="22"/>
                <w:szCs w:val="22"/>
              </w:rPr>
            </w:pPr>
            <w:r>
              <w:rPr>
                <w:b/>
                <w:bCs/>
                <w:color w:val="000000"/>
                <w:sz w:val="22"/>
                <w:szCs w:val="22"/>
              </w:rPr>
              <w:t>Survival HR</w:t>
            </w:r>
          </w:p>
        </w:tc>
        <w:tc>
          <w:tcPr>
            <w:tcW w:w="1757" w:type="dxa"/>
            <w:tcBorders>
              <w:top w:val="single" w:sz="4" w:space="0" w:color="auto"/>
              <w:left w:val="nil"/>
              <w:bottom w:val="single" w:sz="4" w:space="0" w:color="auto"/>
              <w:right w:val="single" w:sz="4" w:space="0" w:color="auto"/>
            </w:tcBorders>
            <w:shd w:val="clear" w:color="000000" w:fill="D9D9D9"/>
            <w:noWrap/>
            <w:vAlign w:val="bottom"/>
            <w:hideMark/>
          </w:tcPr>
          <w:p w14:paraId="1F5D73BC" w14:textId="77777777" w:rsidR="007E097D" w:rsidRDefault="007E097D">
            <w:pPr>
              <w:jc w:val="center"/>
              <w:rPr>
                <w:b/>
                <w:bCs/>
                <w:color w:val="000000"/>
                <w:sz w:val="22"/>
                <w:szCs w:val="22"/>
              </w:rPr>
            </w:pPr>
            <w:r>
              <w:rPr>
                <w:b/>
                <w:bCs/>
                <w:color w:val="000000"/>
                <w:sz w:val="22"/>
                <w:szCs w:val="22"/>
              </w:rPr>
              <w:t>P-value</w:t>
            </w:r>
          </w:p>
        </w:tc>
      </w:tr>
      <w:tr w:rsidR="007E097D" w14:paraId="0C287A5C" w14:textId="77777777" w:rsidTr="00482372">
        <w:trPr>
          <w:trHeight w:val="316"/>
        </w:trPr>
        <w:tc>
          <w:tcPr>
            <w:tcW w:w="6357" w:type="dxa"/>
            <w:tcBorders>
              <w:top w:val="nil"/>
              <w:left w:val="single" w:sz="4" w:space="0" w:color="auto"/>
              <w:bottom w:val="nil"/>
              <w:right w:val="single" w:sz="4" w:space="0" w:color="auto"/>
            </w:tcBorders>
            <w:shd w:val="clear" w:color="auto" w:fill="auto"/>
            <w:noWrap/>
            <w:vAlign w:val="bottom"/>
            <w:hideMark/>
          </w:tcPr>
          <w:p w14:paraId="761043D7" w14:textId="77777777" w:rsidR="007E097D" w:rsidRDefault="007E097D">
            <w:pPr>
              <w:rPr>
                <w:b/>
                <w:bCs/>
                <w:color w:val="000000"/>
                <w:sz w:val="22"/>
                <w:szCs w:val="22"/>
              </w:rPr>
            </w:pPr>
            <w:r>
              <w:rPr>
                <w:b/>
                <w:bCs/>
                <w:color w:val="000000"/>
                <w:sz w:val="22"/>
                <w:szCs w:val="22"/>
              </w:rPr>
              <w:t xml:space="preserve">Patient biological sex </w:t>
            </w:r>
          </w:p>
        </w:tc>
        <w:tc>
          <w:tcPr>
            <w:tcW w:w="2736" w:type="dxa"/>
            <w:tcBorders>
              <w:top w:val="nil"/>
              <w:left w:val="nil"/>
              <w:bottom w:val="nil"/>
              <w:right w:val="nil"/>
            </w:tcBorders>
            <w:shd w:val="clear" w:color="auto" w:fill="auto"/>
            <w:noWrap/>
            <w:hideMark/>
          </w:tcPr>
          <w:p w14:paraId="69077DC6" w14:textId="77777777" w:rsidR="007E097D" w:rsidRDefault="007E097D">
            <w:pPr>
              <w:jc w:val="center"/>
              <w:rPr>
                <w:color w:val="000000"/>
                <w:sz w:val="22"/>
                <w:szCs w:val="22"/>
              </w:rPr>
            </w:pPr>
            <w:r>
              <w:rPr>
                <w:color w:val="000000"/>
                <w:sz w:val="22"/>
                <w:szCs w:val="22"/>
              </w:rPr>
              <w:t> </w:t>
            </w:r>
          </w:p>
        </w:tc>
        <w:tc>
          <w:tcPr>
            <w:tcW w:w="1757" w:type="dxa"/>
            <w:tcBorders>
              <w:top w:val="nil"/>
              <w:left w:val="single" w:sz="4" w:space="0" w:color="auto"/>
              <w:bottom w:val="nil"/>
              <w:right w:val="single" w:sz="4" w:space="0" w:color="auto"/>
            </w:tcBorders>
            <w:shd w:val="clear" w:color="auto" w:fill="auto"/>
            <w:noWrap/>
            <w:vAlign w:val="bottom"/>
            <w:hideMark/>
          </w:tcPr>
          <w:p w14:paraId="5F70F9B5" w14:textId="77777777" w:rsidR="007E097D" w:rsidRDefault="007E097D">
            <w:pPr>
              <w:rPr>
                <w:rFonts w:ascii="Calibri" w:hAnsi="Calibri" w:cs="Calibri"/>
                <w:color w:val="000000"/>
              </w:rPr>
            </w:pPr>
            <w:r>
              <w:rPr>
                <w:rFonts w:ascii="Calibri" w:hAnsi="Calibri" w:cs="Calibri"/>
                <w:color w:val="000000"/>
              </w:rPr>
              <w:t> </w:t>
            </w:r>
          </w:p>
        </w:tc>
      </w:tr>
      <w:tr w:rsidR="007E097D" w14:paraId="4179D5B9" w14:textId="77777777" w:rsidTr="00482372">
        <w:trPr>
          <w:trHeight w:val="316"/>
        </w:trPr>
        <w:tc>
          <w:tcPr>
            <w:tcW w:w="6357" w:type="dxa"/>
            <w:tcBorders>
              <w:top w:val="nil"/>
              <w:left w:val="single" w:sz="4" w:space="0" w:color="auto"/>
              <w:bottom w:val="nil"/>
              <w:right w:val="single" w:sz="4" w:space="0" w:color="auto"/>
            </w:tcBorders>
            <w:shd w:val="clear" w:color="auto" w:fill="auto"/>
            <w:noWrap/>
            <w:vAlign w:val="bottom"/>
            <w:hideMark/>
          </w:tcPr>
          <w:p w14:paraId="07EADA97" w14:textId="77777777" w:rsidR="007E097D" w:rsidRDefault="007E097D">
            <w:pPr>
              <w:ind w:firstLineChars="100" w:firstLine="220"/>
              <w:rPr>
                <w:color w:val="000000"/>
                <w:sz w:val="22"/>
                <w:szCs w:val="22"/>
              </w:rPr>
            </w:pPr>
            <w:r>
              <w:rPr>
                <w:color w:val="000000"/>
                <w:sz w:val="22"/>
                <w:szCs w:val="22"/>
              </w:rPr>
              <w:t>Female versus male</w:t>
            </w:r>
          </w:p>
        </w:tc>
        <w:tc>
          <w:tcPr>
            <w:tcW w:w="2736" w:type="dxa"/>
            <w:tcBorders>
              <w:top w:val="nil"/>
              <w:left w:val="nil"/>
              <w:bottom w:val="nil"/>
              <w:right w:val="nil"/>
            </w:tcBorders>
            <w:shd w:val="clear" w:color="auto" w:fill="auto"/>
            <w:noWrap/>
            <w:hideMark/>
          </w:tcPr>
          <w:p w14:paraId="57D08B0D" w14:textId="77777777" w:rsidR="007E097D" w:rsidRDefault="007E097D">
            <w:pPr>
              <w:jc w:val="center"/>
              <w:rPr>
                <w:color w:val="000000"/>
                <w:sz w:val="22"/>
                <w:szCs w:val="22"/>
              </w:rPr>
            </w:pPr>
            <w:r>
              <w:rPr>
                <w:color w:val="000000"/>
                <w:sz w:val="22"/>
                <w:szCs w:val="22"/>
              </w:rPr>
              <w:t>1.13 (0.67, 1.91)</w:t>
            </w:r>
          </w:p>
        </w:tc>
        <w:tc>
          <w:tcPr>
            <w:tcW w:w="1757" w:type="dxa"/>
            <w:tcBorders>
              <w:top w:val="nil"/>
              <w:left w:val="single" w:sz="4" w:space="0" w:color="auto"/>
              <w:bottom w:val="nil"/>
              <w:right w:val="single" w:sz="4" w:space="0" w:color="auto"/>
            </w:tcBorders>
            <w:shd w:val="clear" w:color="auto" w:fill="auto"/>
            <w:noWrap/>
            <w:hideMark/>
          </w:tcPr>
          <w:p w14:paraId="76735466" w14:textId="77777777" w:rsidR="007E097D" w:rsidRDefault="007E097D">
            <w:pPr>
              <w:jc w:val="center"/>
              <w:rPr>
                <w:color w:val="000000"/>
                <w:sz w:val="22"/>
                <w:szCs w:val="22"/>
              </w:rPr>
            </w:pPr>
            <w:r>
              <w:rPr>
                <w:color w:val="000000"/>
                <w:sz w:val="22"/>
                <w:szCs w:val="22"/>
              </w:rPr>
              <w:t>0.64</w:t>
            </w:r>
          </w:p>
        </w:tc>
      </w:tr>
      <w:tr w:rsidR="007E097D" w14:paraId="7C9F4004" w14:textId="77777777" w:rsidTr="00482372">
        <w:trPr>
          <w:trHeight w:val="316"/>
        </w:trPr>
        <w:tc>
          <w:tcPr>
            <w:tcW w:w="6357" w:type="dxa"/>
            <w:tcBorders>
              <w:top w:val="nil"/>
              <w:left w:val="single" w:sz="4" w:space="0" w:color="auto"/>
              <w:bottom w:val="nil"/>
              <w:right w:val="nil"/>
            </w:tcBorders>
            <w:shd w:val="clear" w:color="auto" w:fill="auto"/>
            <w:noWrap/>
            <w:vAlign w:val="bottom"/>
            <w:hideMark/>
          </w:tcPr>
          <w:p w14:paraId="7A090008" w14:textId="77777777" w:rsidR="007E097D" w:rsidRDefault="007E097D">
            <w:pPr>
              <w:rPr>
                <w:b/>
                <w:bCs/>
                <w:color w:val="000000"/>
                <w:sz w:val="22"/>
                <w:szCs w:val="22"/>
              </w:rPr>
            </w:pPr>
            <w:r>
              <w:rPr>
                <w:b/>
                <w:bCs/>
                <w:color w:val="000000"/>
                <w:sz w:val="22"/>
                <w:szCs w:val="22"/>
              </w:rPr>
              <w:t>Patient Race Ethnicity</w:t>
            </w:r>
            <w:r>
              <w:rPr>
                <w:color w:val="000000"/>
                <w:sz w:val="22"/>
                <w:szCs w:val="22"/>
              </w:rPr>
              <w:t xml:space="preserve"> (compared to Non-Hispanic White)</w:t>
            </w:r>
          </w:p>
        </w:tc>
        <w:tc>
          <w:tcPr>
            <w:tcW w:w="2736" w:type="dxa"/>
            <w:tcBorders>
              <w:top w:val="nil"/>
              <w:left w:val="single" w:sz="4" w:space="0" w:color="auto"/>
              <w:bottom w:val="nil"/>
              <w:right w:val="single" w:sz="4" w:space="0" w:color="auto"/>
            </w:tcBorders>
            <w:shd w:val="clear" w:color="auto" w:fill="auto"/>
            <w:noWrap/>
            <w:hideMark/>
          </w:tcPr>
          <w:p w14:paraId="46532D57" w14:textId="77777777" w:rsidR="007E097D" w:rsidRDefault="007E097D">
            <w:pPr>
              <w:jc w:val="center"/>
              <w:rPr>
                <w:color w:val="000000"/>
                <w:sz w:val="22"/>
                <w:szCs w:val="22"/>
              </w:rPr>
            </w:pPr>
            <w:r>
              <w:rPr>
                <w:color w:val="000000"/>
                <w:sz w:val="22"/>
                <w:szCs w:val="22"/>
              </w:rPr>
              <w:t> </w:t>
            </w:r>
          </w:p>
        </w:tc>
        <w:tc>
          <w:tcPr>
            <w:tcW w:w="1757" w:type="dxa"/>
            <w:tcBorders>
              <w:top w:val="nil"/>
              <w:left w:val="nil"/>
              <w:bottom w:val="nil"/>
              <w:right w:val="single" w:sz="4" w:space="0" w:color="auto"/>
            </w:tcBorders>
            <w:shd w:val="clear" w:color="auto" w:fill="auto"/>
            <w:noWrap/>
            <w:hideMark/>
          </w:tcPr>
          <w:p w14:paraId="7FFF34F3" w14:textId="77777777" w:rsidR="007E097D" w:rsidRDefault="007E097D">
            <w:pPr>
              <w:jc w:val="center"/>
              <w:rPr>
                <w:color w:val="000000"/>
                <w:sz w:val="22"/>
                <w:szCs w:val="22"/>
              </w:rPr>
            </w:pPr>
            <w:r>
              <w:rPr>
                <w:color w:val="000000"/>
                <w:sz w:val="22"/>
                <w:szCs w:val="22"/>
              </w:rPr>
              <w:t> </w:t>
            </w:r>
          </w:p>
        </w:tc>
      </w:tr>
      <w:tr w:rsidR="007E097D" w14:paraId="01738A33" w14:textId="77777777" w:rsidTr="00482372">
        <w:trPr>
          <w:trHeight w:val="316"/>
        </w:trPr>
        <w:tc>
          <w:tcPr>
            <w:tcW w:w="6357" w:type="dxa"/>
            <w:tcBorders>
              <w:top w:val="nil"/>
              <w:left w:val="single" w:sz="4" w:space="0" w:color="auto"/>
              <w:bottom w:val="nil"/>
              <w:right w:val="nil"/>
            </w:tcBorders>
            <w:shd w:val="clear" w:color="auto" w:fill="auto"/>
            <w:noWrap/>
            <w:vAlign w:val="bottom"/>
            <w:hideMark/>
          </w:tcPr>
          <w:p w14:paraId="0467CF78" w14:textId="77777777" w:rsidR="007E097D" w:rsidRDefault="007E097D">
            <w:pPr>
              <w:ind w:firstLineChars="100" w:firstLine="220"/>
              <w:rPr>
                <w:color w:val="000000"/>
                <w:sz w:val="22"/>
                <w:szCs w:val="22"/>
              </w:rPr>
            </w:pPr>
            <w:r>
              <w:rPr>
                <w:color w:val="000000"/>
                <w:sz w:val="22"/>
                <w:szCs w:val="22"/>
              </w:rPr>
              <w:t>Non-Hispanic Black</w:t>
            </w:r>
          </w:p>
        </w:tc>
        <w:tc>
          <w:tcPr>
            <w:tcW w:w="2736" w:type="dxa"/>
            <w:tcBorders>
              <w:top w:val="nil"/>
              <w:left w:val="single" w:sz="4" w:space="0" w:color="auto"/>
              <w:bottom w:val="nil"/>
              <w:right w:val="nil"/>
            </w:tcBorders>
            <w:shd w:val="clear" w:color="auto" w:fill="auto"/>
            <w:noWrap/>
            <w:vAlign w:val="bottom"/>
            <w:hideMark/>
          </w:tcPr>
          <w:p w14:paraId="1D8EE55E" w14:textId="77777777" w:rsidR="007E097D" w:rsidRDefault="007E097D">
            <w:pPr>
              <w:jc w:val="center"/>
              <w:rPr>
                <w:color w:val="000000"/>
                <w:sz w:val="22"/>
                <w:szCs w:val="22"/>
              </w:rPr>
            </w:pPr>
            <w:r>
              <w:rPr>
                <w:color w:val="000000"/>
                <w:sz w:val="22"/>
                <w:szCs w:val="22"/>
              </w:rPr>
              <w:t>0.82 (0.42, 1.57)</w:t>
            </w:r>
          </w:p>
        </w:tc>
        <w:tc>
          <w:tcPr>
            <w:tcW w:w="1757" w:type="dxa"/>
            <w:tcBorders>
              <w:top w:val="nil"/>
              <w:left w:val="single" w:sz="4" w:space="0" w:color="auto"/>
              <w:bottom w:val="nil"/>
              <w:right w:val="single" w:sz="4" w:space="0" w:color="auto"/>
            </w:tcBorders>
            <w:shd w:val="clear" w:color="auto" w:fill="auto"/>
            <w:noWrap/>
            <w:vAlign w:val="bottom"/>
            <w:hideMark/>
          </w:tcPr>
          <w:p w14:paraId="0E021886" w14:textId="77777777" w:rsidR="007E097D" w:rsidRDefault="007E097D">
            <w:pPr>
              <w:jc w:val="center"/>
              <w:rPr>
                <w:color w:val="000000"/>
                <w:sz w:val="22"/>
                <w:szCs w:val="22"/>
              </w:rPr>
            </w:pPr>
            <w:r>
              <w:rPr>
                <w:color w:val="000000"/>
                <w:sz w:val="22"/>
                <w:szCs w:val="22"/>
              </w:rPr>
              <w:t>0.54</w:t>
            </w:r>
          </w:p>
        </w:tc>
      </w:tr>
      <w:tr w:rsidR="007E097D" w14:paraId="1B188F04" w14:textId="77777777" w:rsidTr="00482372">
        <w:trPr>
          <w:trHeight w:val="316"/>
        </w:trPr>
        <w:tc>
          <w:tcPr>
            <w:tcW w:w="6357" w:type="dxa"/>
            <w:tcBorders>
              <w:top w:val="nil"/>
              <w:left w:val="single" w:sz="4" w:space="0" w:color="auto"/>
              <w:bottom w:val="nil"/>
              <w:right w:val="nil"/>
            </w:tcBorders>
            <w:shd w:val="clear" w:color="auto" w:fill="auto"/>
            <w:noWrap/>
            <w:vAlign w:val="bottom"/>
            <w:hideMark/>
          </w:tcPr>
          <w:p w14:paraId="48897EE0" w14:textId="77777777" w:rsidR="007E097D" w:rsidRDefault="007E097D">
            <w:pPr>
              <w:ind w:firstLineChars="100" w:firstLine="220"/>
              <w:rPr>
                <w:color w:val="000000"/>
                <w:sz w:val="22"/>
                <w:szCs w:val="22"/>
              </w:rPr>
            </w:pPr>
            <w:r>
              <w:rPr>
                <w:color w:val="000000"/>
                <w:sz w:val="22"/>
                <w:szCs w:val="22"/>
              </w:rPr>
              <w:t>Hispanic/Latinx</w:t>
            </w:r>
          </w:p>
        </w:tc>
        <w:tc>
          <w:tcPr>
            <w:tcW w:w="2736" w:type="dxa"/>
            <w:tcBorders>
              <w:top w:val="nil"/>
              <w:left w:val="single" w:sz="4" w:space="0" w:color="auto"/>
              <w:bottom w:val="nil"/>
              <w:right w:val="nil"/>
            </w:tcBorders>
            <w:shd w:val="clear" w:color="auto" w:fill="auto"/>
            <w:noWrap/>
            <w:vAlign w:val="bottom"/>
            <w:hideMark/>
          </w:tcPr>
          <w:p w14:paraId="5DD521A1" w14:textId="77777777" w:rsidR="007E097D" w:rsidRDefault="007E097D">
            <w:pPr>
              <w:jc w:val="center"/>
              <w:rPr>
                <w:b/>
                <w:bCs/>
                <w:color w:val="000000"/>
                <w:sz w:val="22"/>
                <w:szCs w:val="22"/>
              </w:rPr>
            </w:pPr>
            <w:r>
              <w:rPr>
                <w:b/>
                <w:bCs/>
                <w:color w:val="000000"/>
                <w:sz w:val="22"/>
                <w:szCs w:val="22"/>
              </w:rPr>
              <w:t>0.31 (0.13, 0.71)</w:t>
            </w:r>
          </w:p>
        </w:tc>
        <w:tc>
          <w:tcPr>
            <w:tcW w:w="1757" w:type="dxa"/>
            <w:tcBorders>
              <w:top w:val="nil"/>
              <w:left w:val="single" w:sz="4" w:space="0" w:color="auto"/>
              <w:bottom w:val="nil"/>
              <w:right w:val="single" w:sz="4" w:space="0" w:color="auto"/>
            </w:tcBorders>
            <w:shd w:val="clear" w:color="auto" w:fill="auto"/>
            <w:noWrap/>
            <w:vAlign w:val="bottom"/>
            <w:hideMark/>
          </w:tcPr>
          <w:p w14:paraId="54780304" w14:textId="77777777" w:rsidR="007E097D" w:rsidRDefault="007E097D">
            <w:pPr>
              <w:jc w:val="center"/>
              <w:rPr>
                <w:b/>
                <w:bCs/>
                <w:color w:val="000000"/>
                <w:sz w:val="22"/>
                <w:szCs w:val="22"/>
              </w:rPr>
            </w:pPr>
            <w:r>
              <w:rPr>
                <w:b/>
                <w:bCs/>
                <w:color w:val="000000"/>
                <w:sz w:val="22"/>
                <w:szCs w:val="22"/>
              </w:rPr>
              <w:t>&lt;0.01</w:t>
            </w:r>
          </w:p>
        </w:tc>
      </w:tr>
      <w:tr w:rsidR="007E097D" w14:paraId="3776632E" w14:textId="77777777" w:rsidTr="00482372">
        <w:trPr>
          <w:trHeight w:val="316"/>
        </w:trPr>
        <w:tc>
          <w:tcPr>
            <w:tcW w:w="6357" w:type="dxa"/>
            <w:tcBorders>
              <w:top w:val="nil"/>
              <w:left w:val="single" w:sz="4" w:space="0" w:color="auto"/>
              <w:bottom w:val="nil"/>
              <w:right w:val="nil"/>
            </w:tcBorders>
            <w:shd w:val="clear" w:color="auto" w:fill="auto"/>
            <w:noWrap/>
            <w:vAlign w:val="bottom"/>
            <w:hideMark/>
          </w:tcPr>
          <w:p w14:paraId="183348C6" w14:textId="77777777" w:rsidR="007E097D" w:rsidRDefault="007E097D">
            <w:pPr>
              <w:ind w:firstLineChars="100" w:firstLine="220"/>
              <w:rPr>
                <w:color w:val="000000"/>
                <w:sz w:val="22"/>
                <w:szCs w:val="22"/>
              </w:rPr>
            </w:pPr>
            <w:r>
              <w:rPr>
                <w:color w:val="000000"/>
                <w:sz w:val="22"/>
                <w:szCs w:val="22"/>
              </w:rPr>
              <w:t>Asian</w:t>
            </w:r>
          </w:p>
        </w:tc>
        <w:tc>
          <w:tcPr>
            <w:tcW w:w="2736" w:type="dxa"/>
            <w:tcBorders>
              <w:top w:val="nil"/>
              <w:left w:val="single" w:sz="4" w:space="0" w:color="auto"/>
              <w:bottom w:val="nil"/>
              <w:right w:val="nil"/>
            </w:tcBorders>
            <w:shd w:val="clear" w:color="auto" w:fill="auto"/>
            <w:noWrap/>
            <w:vAlign w:val="bottom"/>
            <w:hideMark/>
          </w:tcPr>
          <w:p w14:paraId="027B8FE0" w14:textId="77777777" w:rsidR="007E097D" w:rsidRDefault="007E097D">
            <w:pPr>
              <w:jc w:val="center"/>
              <w:rPr>
                <w:color w:val="000000"/>
                <w:sz w:val="22"/>
                <w:szCs w:val="22"/>
              </w:rPr>
            </w:pPr>
            <w:r>
              <w:rPr>
                <w:color w:val="000000"/>
                <w:sz w:val="22"/>
                <w:szCs w:val="22"/>
              </w:rPr>
              <w:t>0.58 (0.17, 2.00)</w:t>
            </w:r>
          </w:p>
        </w:tc>
        <w:tc>
          <w:tcPr>
            <w:tcW w:w="1757" w:type="dxa"/>
            <w:tcBorders>
              <w:top w:val="nil"/>
              <w:left w:val="single" w:sz="4" w:space="0" w:color="auto"/>
              <w:bottom w:val="nil"/>
              <w:right w:val="single" w:sz="4" w:space="0" w:color="auto"/>
            </w:tcBorders>
            <w:shd w:val="clear" w:color="auto" w:fill="auto"/>
            <w:noWrap/>
            <w:vAlign w:val="bottom"/>
            <w:hideMark/>
          </w:tcPr>
          <w:p w14:paraId="594B43D7" w14:textId="77777777" w:rsidR="007E097D" w:rsidRDefault="007E097D">
            <w:pPr>
              <w:jc w:val="center"/>
              <w:rPr>
                <w:color w:val="000000"/>
                <w:sz w:val="22"/>
                <w:szCs w:val="22"/>
              </w:rPr>
            </w:pPr>
            <w:r>
              <w:rPr>
                <w:color w:val="000000"/>
                <w:sz w:val="22"/>
                <w:szCs w:val="22"/>
              </w:rPr>
              <w:t>0.39</w:t>
            </w:r>
          </w:p>
        </w:tc>
      </w:tr>
      <w:tr w:rsidR="007E097D" w14:paraId="499CC11B" w14:textId="77777777" w:rsidTr="00482372">
        <w:trPr>
          <w:trHeight w:val="316"/>
        </w:trPr>
        <w:tc>
          <w:tcPr>
            <w:tcW w:w="6357" w:type="dxa"/>
            <w:tcBorders>
              <w:top w:val="nil"/>
              <w:left w:val="single" w:sz="4" w:space="0" w:color="auto"/>
              <w:bottom w:val="nil"/>
              <w:right w:val="nil"/>
            </w:tcBorders>
            <w:shd w:val="clear" w:color="auto" w:fill="auto"/>
            <w:noWrap/>
            <w:vAlign w:val="bottom"/>
            <w:hideMark/>
          </w:tcPr>
          <w:p w14:paraId="53C79E8C" w14:textId="77777777" w:rsidR="007E097D" w:rsidRDefault="007E097D">
            <w:pPr>
              <w:ind w:firstLineChars="100" w:firstLine="220"/>
              <w:rPr>
                <w:color w:val="000000"/>
                <w:sz w:val="22"/>
                <w:szCs w:val="22"/>
              </w:rPr>
            </w:pPr>
            <w:r>
              <w:rPr>
                <w:color w:val="000000"/>
                <w:sz w:val="22"/>
                <w:szCs w:val="22"/>
              </w:rPr>
              <w:t xml:space="preserve">Mixed, </w:t>
            </w:r>
            <w:proofErr w:type="gramStart"/>
            <w:r>
              <w:rPr>
                <w:color w:val="000000"/>
                <w:sz w:val="22"/>
                <w:szCs w:val="22"/>
              </w:rPr>
              <w:t>other</w:t>
            </w:r>
            <w:proofErr w:type="gramEnd"/>
            <w:r>
              <w:rPr>
                <w:color w:val="000000"/>
                <w:sz w:val="22"/>
                <w:szCs w:val="22"/>
              </w:rPr>
              <w:t xml:space="preserve"> or unknown</w:t>
            </w:r>
          </w:p>
        </w:tc>
        <w:tc>
          <w:tcPr>
            <w:tcW w:w="2736" w:type="dxa"/>
            <w:tcBorders>
              <w:top w:val="nil"/>
              <w:left w:val="single" w:sz="4" w:space="0" w:color="auto"/>
              <w:bottom w:val="single" w:sz="4" w:space="0" w:color="auto"/>
              <w:right w:val="nil"/>
            </w:tcBorders>
            <w:shd w:val="clear" w:color="auto" w:fill="auto"/>
            <w:noWrap/>
            <w:vAlign w:val="bottom"/>
            <w:hideMark/>
          </w:tcPr>
          <w:p w14:paraId="2C1A3B99" w14:textId="77777777" w:rsidR="007E097D" w:rsidRDefault="007E097D">
            <w:pPr>
              <w:jc w:val="center"/>
              <w:rPr>
                <w:color w:val="000000"/>
                <w:sz w:val="22"/>
                <w:szCs w:val="22"/>
              </w:rPr>
            </w:pPr>
            <w:r>
              <w:rPr>
                <w:color w:val="000000"/>
                <w:sz w:val="22"/>
                <w:szCs w:val="22"/>
              </w:rPr>
              <w:t>0.48 (0.20, 1.11)</w:t>
            </w:r>
          </w:p>
        </w:tc>
        <w:tc>
          <w:tcPr>
            <w:tcW w:w="1757" w:type="dxa"/>
            <w:tcBorders>
              <w:top w:val="nil"/>
              <w:left w:val="single" w:sz="4" w:space="0" w:color="auto"/>
              <w:bottom w:val="single" w:sz="4" w:space="0" w:color="auto"/>
              <w:right w:val="single" w:sz="4" w:space="0" w:color="auto"/>
            </w:tcBorders>
            <w:shd w:val="clear" w:color="auto" w:fill="auto"/>
            <w:noWrap/>
            <w:vAlign w:val="bottom"/>
            <w:hideMark/>
          </w:tcPr>
          <w:p w14:paraId="056D3527" w14:textId="77777777" w:rsidR="007E097D" w:rsidRDefault="007E097D">
            <w:pPr>
              <w:jc w:val="center"/>
              <w:rPr>
                <w:color w:val="000000"/>
                <w:sz w:val="22"/>
                <w:szCs w:val="22"/>
              </w:rPr>
            </w:pPr>
            <w:r>
              <w:rPr>
                <w:color w:val="000000"/>
                <w:sz w:val="22"/>
                <w:szCs w:val="22"/>
              </w:rPr>
              <w:t>0.09</w:t>
            </w:r>
          </w:p>
        </w:tc>
      </w:tr>
      <w:tr w:rsidR="007E097D" w14:paraId="320C35BB" w14:textId="77777777" w:rsidTr="00482372">
        <w:trPr>
          <w:trHeight w:val="316"/>
        </w:trPr>
        <w:tc>
          <w:tcPr>
            <w:tcW w:w="6357" w:type="dxa"/>
            <w:tcBorders>
              <w:top w:val="single" w:sz="4" w:space="0" w:color="auto"/>
              <w:left w:val="single" w:sz="4" w:space="0" w:color="auto"/>
              <w:bottom w:val="nil"/>
              <w:right w:val="nil"/>
            </w:tcBorders>
            <w:shd w:val="clear" w:color="auto" w:fill="auto"/>
            <w:vAlign w:val="center"/>
            <w:hideMark/>
          </w:tcPr>
          <w:p w14:paraId="1DA8FB88" w14:textId="77777777" w:rsidR="007E097D" w:rsidRDefault="007E097D">
            <w:pPr>
              <w:rPr>
                <w:b/>
                <w:bCs/>
                <w:color w:val="000000"/>
                <w:sz w:val="22"/>
                <w:szCs w:val="22"/>
              </w:rPr>
            </w:pPr>
            <w:r>
              <w:rPr>
                <w:b/>
                <w:bCs/>
                <w:color w:val="000000"/>
                <w:sz w:val="22"/>
                <w:szCs w:val="22"/>
              </w:rPr>
              <w:t xml:space="preserve">Insurance Type </w:t>
            </w:r>
            <w:r>
              <w:rPr>
                <w:color w:val="000000"/>
                <w:sz w:val="22"/>
                <w:szCs w:val="22"/>
              </w:rPr>
              <w:t>(compared to other/unknown)</w:t>
            </w:r>
          </w:p>
        </w:tc>
        <w:tc>
          <w:tcPr>
            <w:tcW w:w="2736" w:type="dxa"/>
            <w:tcBorders>
              <w:top w:val="nil"/>
              <w:left w:val="single" w:sz="4" w:space="0" w:color="auto"/>
              <w:bottom w:val="nil"/>
              <w:right w:val="single" w:sz="4" w:space="0" w:color="auto"/>
            </w:tcBorders>
            <w:shd w:val="clear" w:color="auto" w:fill="auto"/>
            <w:noWrap/>
            <w:hideMark/>
          </w:tcPr>
          <w:p w14:paraId="76C65842" w14:textId="77777777" w:rsidR="007E097D" w:rsidRDefault="007E097D">
            <w:pPr>
              <w:jc w:val="center"/>
              <w:rPr>
                <w:color w:val="000000"/>
                <w:sz w:val="22"/>
                <w:szCs w:val="22"/>
              </w:rPr>
            </w:pPr>
            <w:r>
              <w:rPr>
                <w:color w:val="000000"/>
                <w:sz w:val="22"/>
                <w:szCs w:val="22"/>
              </w:rPr>
              <w:t> </w:t>
            </w:r>
          </w:p>
        </w:tc>
        <w:tc>
          <w:tcPr>
            <w:tcW w:w="1757" w:type="dxa"/>
            <w:tcBorders>
              <w:top w:val="nil"/>
              <w:left w:val="nil"/>
              <w:bottom w:val="nil"/>
              <w:right w:val="single" w:sz="4" w:space="0" w:color="auto"/>
            </w:tcBorders>
            <w:shd w:val="clear" w:color="auto" w:fill="auto"/>
            <w:noWrap/>
            <w:hideMark/>
          </w:tcPr>
          <w:p w14:paraId="3234E399" w14:textId="77777777" w:rsidR="007E097D" w:rsidRDefault="007E097D">
            <w:pPr>
              <w:jc w:val="center"/>
              <w:rPr>
                <w:color w:val="000000"/>
                <w:sz w:val="22"/>
                <w:szCs w:val="22"/>
              </w:rPr>
            </w:pPr>
            <w:r>
              <w:rPr>
                <w:color w:val="000000"/>
                <w:sz w:val="22"/>
                <w:szCs w:val="22"/>
              </w:rPr>
              <w:t> </w:t>
            </w:r>
          </w:p>
        </w:tc>
      </w:tr>
      <w:tr w:rsidR="007E097D" w14:paraId="0C0F2212" w14:textId="77777777" w:rsidTr="00482372">
        <w:trPr>
          <w:trHeight w:val="316"/>
        </w:trPr>
        <w:tc>
          <w:tcPr>
            <w:tcW w:w="6357" w:type="dxa"/>
            <w:tcBorders>
              <w:top w:val="nil"/>
              <w:left w:val="single" w:sz="4" w:space="0" w:color="auto"/>
              <w:bottom w:val="nil"/>
              <w:right w:val="nil"/>
            </w:tcBorders>
            <w:shd w:val="clear" w:color="auto" w:fill="auto"/>
            <w:noWrap/>
            <w:vAlign w:val="bottom"/>
            <w:hideMark/>
          </w:tcPr>
          <w:p w14:paraId="197615E9" w14:textId="77777777" w:rsidR="007E097D" w:rsidRDefault="007E097D">
            <w:pPr>
              <w:ind w:firstLineChars="100" w:firstLine="220"/>
              <w:rPr>
                <w:color w:val="000000"/>
                <w:sz w:val="22"/>
                <w:szCs w:val="22"/>
              </w:rPr>
            </w:pPr>
            <w:r>
              <w:rPr>
                <w:color w:val="000000"/>
                <w:sz w:val="22"/>
                <w:szCs w:val="22"/>
              </w:rPr>
              <w:t>Any Public</w:t>
            </w:r>
          </w:p>
        </w:tc>
        <w:tc>
          <w:tcPr>
            <w:tcW w:w="2736" w:type="dxa"/>
            <w:tcBorders>
              <w:top w:val="nil"/>
              <w:left w:val="single" w:sz="4" w:space="0" w:color="auto"/>
              <w:bottom w:val="nil"/>
              <w:right w:val="single" w:sz="4" w:space="0" w:color="auto"/>
            </w:tcBorders>
            <w:shd w:val="clear" w:color="auto" w:fill="auto"/>
            <w:noWrap/>
            <w:vAlign w:val="bottom"/>
            <w:hideMark/>
          </w:tcPr>
          <w:p w14:paraId="6233505A" w14:textId="77777777" w:rsidR="007E097D" w:rsidRDefault="007E097D">
            <w:pPr>
              <w:jc w:val="center"/>
              <w:rPr>
                <w:color w:val="000000"/>
                <w:sz w:val="22"/>
                <w:szCs w:val="22"/>
              </w:rPr>
            </w:pPr>
            <w:r>
              <w:rPr>
                <w:color w:val="000000"/>
                <w:sz w:val="22"/>
                <w:szCs w:val="22"/>
              </w:rPr>
              <w:t>0.53 (0.07, 3.95)</w:t>
            </w:r>
          </w:p>
        </w:tc>
        <w:tc>
          <w:tcPr>
            <w:tcW w:w="1757" w:type="dxa"/>
            <w:tcBorders>
              <w:top w:val="nil"/>
              <w:left w:val="nil"/>
              <w:bottom w:val="nil"/>
              <w:right w:val="single" w:sz="4" w:space="0" w:color="auto"/>
            </w:tcBorders>
            <w:shd w:val="clear" w:color="auto" w:fill="auto"/>
            <w:noWrap/>
            <w:vAlign w:val="bottom"/>
            <w:hideMark/>
          </w:tcPr>
          <w:p w14:paraId="659E7C30" w14:textId="77777777" w:rsidR="007E097D" w:rsidRDefault="007E097D">
            <w:pPr>
              <w:jc w:val="center"/>
              <w:rPr>
                <w:color w:val="000000"/>
                <w:sz w:val="22"/>
                <w:szCs w:val="22"/>
              </w:rPr>
            </w:pPr>
            <w:r>
              <w:rPr>
                <w:color w:val="000000"/>
                <w:sz w:val="22"/>
                <w:szCs w:val="22"/>
              </w:rPr>
              <w:t>0.54</w:t>
            </w:r>
          </w:p>
        </w:tc>
      </w:tr>
      <w:tr w:rsidR="007E097D" w14:paraId="79DD05CB" w14:textId="77777777" w:rsidTr="00482372">
        <w:trPr>
          <w:trHeight w:val="316"/>
        </w:trPr>
        <w:tc>
          <w:tcPr>
            <w:tcW w:w="6357" w:type="dxa"/>
            <w:tcBorders>
              <w:top w:val="nil"/>
              <w:left w:val="single" w:sz="4" w:space="0" w:color="auto"/>
              <w:bottom w:val="single" w:sz="4" w:space="0" w:color="auto"/>
              <w:right w:val="nil"/>
            </w:tcBorders>
            <w:shd w:val="clear" w:color="auto" w:fill="auto"/>
            <w:noWrap/>
            <w:vAlign w:val="bottom"/>
            <w:hideMark/>
          </w:tcPr>
          <w:p w14:paraId="3B9ABDD8" w14:textId="77777777" w:rsidR="007E097D" w:rsidRDefault="007E097D">
            <w:pPr>
              <w:ind w:firstLineChars="100" w:firstLine="220"/>
              <w:rPr>
                <w:color w:val="000000"/>
                <w:sz w:val="22"/>
                <w:szCs w:val="22"/>
              </w:rPr>
            </w:pPr>
            <w:r>
              <w:rPr>
                <w:color w:val="000000"/>
                <w:sz w:val="22"/>
                <w:szCs w:val="22"/>
              </w:rPr>
              <w:t>Private only</w:t>
            </w:r>
          </w:p>
        </w:tc>
        <w:tc>
          <w:tcPr>
            <w:tcW w:w="2736" w:type="dxa"/>
            <w:tcBorders>
              <w:top w:val="nil"/>
              <w:left w:val="single" w:sz="4" w:space="0" w:color="auto"/>
              <w:bottom w:val="single" w:sz="4" w:space="0" w:color="auto"/>
              <w:right w:val="single" w:sz="4" w:space="0" w:color="auto"/>
            </w:tcBorders>
            <w:shd w:val="clear" w:color="auto" w:fill="auto"/>
            <w:noWrap/>
            <w:vAlign w:val="bottom"/>
            <w:hideMark/>
          </w:tcPr>
          <w:p w14:paraId="3A71CEE0" w14:textId="77777777" w:rsidR="007E097D" w:rsidRDefault="007E097D">
            <w:pPr>
              <w:jc w:val="center"/>
              <w:rPr>
                <w:color w:val="000000"/>
                <w:sz w:val="22"/>
                <w:szCs w:val="22"/>
              </w:rPr>
            </w:pPr>
            <w:r>
              <w:rPr>
                <w:color w:val="000000"/>
                <w:sz w:val="22"/>
                <w:szCs w:val="22"/>
              </w:rPr>
              <w:t>0.88 (0.12, 6.63)</w:t>
            </w:r>
          </w:p>
        </w:tc>
        <w:tc>
          <w:tcPr>
            <w:tcW w:w="1757" w:type="dxa"/>
            <w:tcBorders>
              <w:top w:val="nil"/>
              <w:left w:val="nil"/>
              <w:bottom w:val="single" w:sz="4" w:space="0" w:color="auto"/>
              <w:right w:val="single" w:sz="4" w:space="0" w:color="auto"/>
            </w:tcBorders>
            <w:shd w:val="clear" w:color="auto" w:fill="auto"/>
            <w:noWrap/>
            <w:vAlign w:val="bottom"/>
            <w:hideMark/>
          </w:tcPr>
          <w:p w14:paraId="3B1A4530" w14:textId="77777777" w:rsidR="007E097D" w:rsidRDefault="007E097D">
            <w:pPr>
              <w:jc w:val="center"/>
              <w:rPr>
                <w:color w:val="000000"/>
                <w:sz w:val="22"/>
                <w:szCs w:val="22"/>
              </w:rPr>
            </w:pPr>
            <w:r>
              <w:rPr>
                <w:color w:val="000000"/>
                <w:sz w:val="22"/>
                <w:szCs w:val="22"/>
              </w:rPr>
              <w:t>0.9</w:t>
            </w:r>
          </w:p>
        </w:tc>
      </w:tr>
      <w:tr w:rsidR="007E097D" w14:paraId="00A966C0" w14:textId="77777777" w:rsidTr="00482372">
        <w:trPr>
          <w:trHeight w:val="316"/>
        </w:trPr>
        <w:tc>
          <w:tcPr>
            <w:tcW w:w="6357" w:type="dxa"/>
            <w:tcBorders>
              <w:top w:val="nil"/>
              <w:left w:val="single" w:sz="4" w:space="0" w:color="auto"/>
              <w:bottom w:val="nil"/>
              <w:right w:val="nil"/>
            </w:tcBorders>
            <w:shd w:val="clear" w:color="auto" w:fill="auto"/>
            <w:noWrap/>
            <w:vAlign w:val="bottom"/>
            <w:hideMark/>
          </w:tcPr>
          <w:p w14:paraId="2F344844" w14:textId="77777777" w:rsidR="007E097D" w:rsidRDefault="007E097D">
            <w:pPr>
              <w:rPr>
                <w:b/>
                <w:bCs/>
                <w:color w:val="000000"/>
                <w:sz w:val="22"/>
                <w:szCs w:val="22"/>
              </w:rPr>
            </w:pPr>
            <w:r>
              <w:rPr>
                <w:b/>
                <w:bCs/>
                <w:color w:val="000000"/>
                <w:sz w:val="22"/>
                <w:szCs w:val="22"/>
              </w:rPr>
              <w:t>Birth Information</w:t>
            </w:r>
          </w:p>
        </w:tc>
        <w:tc>
          <w:tcPr>
            <w:tcW w:w="2736" w:type="dxa"/>
            <w:tcBorders>
              <w:top w:val="nil"/>
              <w:left w:val="single" w:sz="4" w:space="0" w:color="auto"/>
              <w:bottom w:val="nil"/>
              <w:right w:val="single" w:sz="4" w:space="0" w:color="auto"/>
            </w:tcBorders>
            <w:shd w:val="clear" w:color="auto" w:fill="auto"/>
            <w:noWrap/>
            <w:vAlign w:val="bottom"/>
            <w:hideMark/>
          </w:tcPr>
          <w:p w14:paraId="03C51493" w14:textId="77777777" w:rsidR="007E097D" w:rsidRDefault="007E097D">
            <w:pPr>
              <w:jc w:val="center"/>
              <w:rPr>
                <w:color w:val="000000"/>
                <w:sz w:val="22"/>
                <w:szCs w:val="22"/>
              </w:rPr>
            </w:pPr>
            <w:r>
              <w:rPr>
                <w:color w:val="000000"/>
                <w:sz w:val="22"/>
                <w:szCs w:val="22"/>
              </w:rPr>
              <w:t> </w:t>
            </w:r>
          </w:p>
        </w:tc>
        <w:tc>
          <w:tcPr>
            <w:tcW w:w="1757" w:type="dxa"/>
            <w:tcBorders>
              <w:top w:val="nil"/>
              <w:left w:val="nil"/>
              <w:bottom w:val="nil"/>
              <w:right w:val="single" w:sz="4" w:space="0" w:color="auto"/>
            </w:tcBorders>
            <w:shd w:val="clear" w:color="auto" w:fill="auto"/>
            <w:noWrap/>
            <w:vAlign w:val="bottom"/>
            <w:hideMark/>
          </w:tcPr>
          <w:p w14:paraId="3AB303E6" w14:textId="77777777" w:rsidR="007E097D" w:rsidRDefault="007E097D">
            <w:pPr>
              <w:jc w:val="center"/>
              <w:rPr>
                <w:color w:val="000000"/>
                <w:sz w:val="22"/>
                <w:szCs w:val="22"/>
              </w:rPr>
            </w:pPr>
            <w:r>
              <w:rPr>
                <w:color w:val="000000"/>
                <w:sz w:val="22"/>
                <w:szCs w:val="22"/>
              </w:rPr>
              <w:t> </w:t>
            </w:r>
          </w:p>
        </w:tc>
      </w:tr>
      <w:tr w:rsidR="007E097D" w14:paraId="7AAE35FD" w14:textId="77777777" w:rsidTr="00482372">
        <w:trPr>
          <w:trHeight w:val="316"/>
        </w:trPr>
        <w:tc>
          <w:tcPr>
            <w:tcW w:w="6357" w:type="dxa"/>
            <w:tcBorders>
              <w:top w:val="nil"/>
              <w:left w:val="single" w:sz="4" w:space="0" w:color="auto"/>
              <w:bottom w:val="nil"/>
              <w:right w:val="nil"/>
            </w:tcBorders>
            <w:shd w:val="clear" w:color="auto" w:fill="auto"/>
            <w:noWrap/>
            <w:vAlign w:val="bottom"/>
            <w:hideMark/>
          </w:tcPr>
          <w:p w14:paraId="7DD77F34" w14:textId="77777777" w:rsidR="007E097D" w:rsidRDefault="007E097D">
            <w:pPr>
              <w:ind w:firstLineChars="100" w:firstLine="220"/>
              <w:rPr>
                <w:color w:val="000000"/>
                <w:sz w:val="22"/>
                <w:szCs w:val="22"/>
              </w:rPr>
            </w:pPr>
            <w:r>
              <w:rPr>
                <w:color w:val="000000"/>
                <w:sz w:val="22"/>
                <w:szCs w:val="22"/>
              </w:rPr>
              <w:t>Gestational age (standardized)</w:t>
            </w:r>
          </w:p>
        </w:tc>
        <w:tc>
          <w:tcPr>
            <w:tcW w:w="2736" w:type="dxa"/>
            <w:tcBorders>
              <w:top w:val="nil"/>
              <w:left w:val="single" w:sz="4" w:space="0" w:color="auto"/>
              <w:bottom w:val="nil"/>
              <w:right w:val="single" w:sz="4" w:space="0" w:color="auto"/>
            </w:tcBorders>
            <w:shd w:val="clear" w:color="auto" w:fill="auto"/>
            <w:noWrap/>
            <w:vAlign w:val="bottom"/>
            <w:hideMark/>
          </w:tcPr>
          <w:p w14:paraId="4F37FB95" w14:textId="77777777" w:rsidR="007E097D" w:rsidRDefault="007E097D">
            <w:pPr>
              <w:jc w:val="center"/>
              <w:rPr>
                <w:color w:val="000000"/>
                <w:sz w:val="22"/>
                <w:szCs w:val="22"/>
              </w:rPr>
            </w:pPr>
            <w:r>
              <w:rPr>
                <w:color w:val="000000"/>
                <w:sz w:val="22"/>
                <w:szCs w:val="22"/>
              </w:rPr>
              <w:t>0.99 (0.75, 1.32)</w:t>
            </w:r>
          </w:p>
        </w:tc>
        <w:tc>
          <w:tcPr>
            <w:tcW w:w="1757" w:type="dxa"/>
            <w:tcBorders>
              <w:top w:val="nil"/>
              <w:left w:val="nil"/>
              <w:bottom w:val="nil"/>
              <w:right w:val="single" w:sz="4" w:space="0" w:color="auto"/>
            </w:tcBorders>
            <w:shd w:val="clear" w:color="auto" w:fill="auto"/>
            <w:noWrap/>
            <w:vAlign w:val="bottom"/>
            <w:hideMark/>
          </w:tcPr>
          <w:p w14:paraId="31BB54BA" w14:textId="77777777" w:rsidR="007E097D" w:rsidRDefault="007E097D">
            <w:pPr>
              <w:jc w:val="center"/>
              <w:rPr>
                <w:color w:val="000000"/>
                <w:sz w:val="22"/>
                <w:szCs w:val="22"/>
              </w:rPr>
            </w:pPr>
            <w:r>
              <w:rPr>
                <w:color w:val="000000"/>
                <w:sz w:val="22"/>
                <w:szCs w:val="22"/>
              </w:rPr>
              <w:t>0.95</w:t>
            </w:r>
          </w:p>
        </w:tc>
      </w:tr>
      <w:tr w:rsidR="007E097D" w14:paraId="7AFCD0C7" w14:textId="77777777" w:rsidTr="00482372">
        <w:trPr>
          <w:trHeight w:val="316"/>
        </w:trPr>
        <w:tc>
          <w:tcPr>
            <w:tcW w:w="6357" w:type="dxa"/>
            <w:tcBorders>
              <w:top w:val="nil"/>
              <w:left w:val="single" w:sz="4" w:space="0" w:color="auto"/>
              <w:bottom w:val="nil"/>
              <w:right w:val="nil"/>
            </w:tcBorders>
            <w:shd w:val="clear" w:color="auto" w:fill="auto"/>
            <w:noWrap/>
            <w:vAlign w:val="bottom"/>
            <w:hideMark/>
          </w:tcPr>
          <w:p w14:paraId="085A23A0" w14:textId="77777777" w:rsidR="007E097D" w:rsidRDefault="007E097D">
            <w:pPr>
              <w:ind w:firstLineChars="100" w:firstLine="220"/>
              <w:rPr>
                <w:color w:val="000000"/>
                <w:sz w:val="22"/>
                <w:szCs w:val="22"/>
              </w:rPr>
            </w:pPr>
            <w:r>
              <w:rPr>
                <w:color w:val="000000"/>
                <w:sz w:val="22"/>
                <w:szCs w:val="22"/>
              </w:rPr>
              <w:t>Corrected gestational age</w:t>
            </w:r>
          </w:p>
        </w:tc>
        <w:tc>
          <w:tcPr>
            <w:tcW w:w="2736" w:type="dxa"/>
            <w:tcBorders>
              <w:top w:val="nil"/>
              <w:left w:val="single" w:sz="4" w:space="0" w:color="auto"/>
              <w:bottom w:val="nil"/>
              <w:right w:val="single" w:sz="4" w:space="0" w:color="auto"/>
            </w:tcBorders>
            <w:shd w:val="clear" w:color="auto" w:fill="auto"/>
            <w:noWrap/>
            <w:vAlign w:val="bottom"/>
            <w:hideMark/>
          </w:tcPr>
          <w:p w14:paraId="05155638" w14:textId="77777777" w:rsidR="007E097D" w:rsidRDefault="007E097D">
            <w:pPr>
              <w:jc w:val="center"/>
              <w:rPr>
                <w:b/>
                <w:bCs/>
                <w:color w:val="000000"/>
                <w:sz w:val="22"/>
                <w:szCs w:val="22"/>
              </w:rPr>
            </w:pPr>
            <w:r>
              <w:rPr>
                <w:b/>
                <w:bCs/>
                <w:color w:val="000000"/>
                <w:sz w:val="22"/>
                <w:szCs w:val="22"/>
              </w:rPr>
              <w:t>0.60 (0.43, 0.84)</w:t>
            </w:r>
          </w:p>
        </w:tc>
        <w:tc>
          <w:tcPr>
            <w:tcW w:w="1757" w:type="dxa"/>
            <w:tcBorders>
              <w:top w:val="nil"/>
              <w:left w:val="nil"/>
              <w:bottom w:val="nil"/>
              <w:right w:val="single" w:sz="4" w:space="0" w:color="auto"/>
            </w:tcBorders>
            <w:shd w:val="clear" w:color="auto" w:fill="auto"/>
            <w:noWrap/>
            <w:vAlign w:val="bottom"/>
            <w:hideMark/>
          </w:tcPr>
          <w:p w14:paraId="1E995273" w14:textId="77777777" w:rsidR="007E097D" w:rsidRDefault="007E097D">
            <w:pPr>
              <w:jc w:val="center"/>
              <w:rPr>
                <w:b/>
                <w:bCs/>
                <w:color w:val="000000"/>
                <w:sz w:val="22"/>
                <w:szCs w:val="22"/>
              </w:rPr>
            </w:pPr>
            <w:r>
              <w:rPr>
                <w:b/>
                <w:bCs/>
                <w:color w:val="000000"/>
                <w:sz w:val="22"/>
                <w:szCs w:val="22"/>
              </w:rPr>
              <w:t>&lt;0.01</w:t>
            </w:r>
          </w:p>
        </w:tc>
      </w:tr>
      <w:tr w:rsidR="007E097D" w14:paraId="3918DDA1" w14:textId="77777777" w:rsidTr="00482372">
        <w:trPr>
          <w:trHeight w:val="316"/>
        </w:trPr>
        <w:tc>
          <w:tcPr>
            <w:tcW w:w="6357" w:type="dxa"/>
            <w:tcBorders>
              <w:top w:val="nil"/>
              <w:left w:val="single" w:sz="4" w:space="0" w:color="auto"/>
              <w:bottom w:val="nil"/>
              <w:right w:val="nil"/>
            </w:tcBorders>
            <w:shd w:val="clear" w:color="auto" w:fill="auto"/>
            <w:noWrap/>
            <w:vAlign w:val="bottom"/>
            <w:hideMark/>
          </w:tcPr>
          <w:p w14:paraId="4FE25BAD" w14:textId="77777777" w:rsidR="007E097D" w:rsidRDefault="007E097D">
            <w:pPr>
              <w:ind w:firstLineChars="100" w:firstLine="220"/>
              <w:rPr>
                <w:color w:val="000000"/>
                <w:sz w:val="22"/>
                <w:szCs w:val="22"/>
              </w:rPr>
            </w:pPr>
            <w:r>
              <w:rPr>
                <w:color w:val="000000"/>
                <w:sz w:val="22"/>
                <w:szCs w:val="22"/>
              </w:rPr>
              <w:t>Birthweight (standardized)</w:t>
            </w:r>
          </w:p>
        </w:tc>
        <w:tc>
          <w:tcPr>
            <w:tcW w:w="2736" w:type="dxa"/>
            <w:tcBorders>
              <w:top w:val="nil"/>
              <w:left w:val="single" w:sz="4" w:space="0" w:color="auto"/>
              <w:bottom w:val="nil"/>
              <w:right w:val="single" w:sz="4" w:space="0" w:color="auto"/>
            </w:tcBorders>
            <w:shd w:val="clear" w:color="auto" w:fill="auto"/>
            <w:noWrap/>
            <w:vAlign w:val="bottom"/>
            <w:hideMark/>
          </w:tcPr>
          <w:p w14:paraId="39E3DF94" w14:textId="77777777" w:rsidR="007E097D" w:rsidRDefault="007E097D">
            <w:pPr>
              <w:jc w:val="center"/>
              <w:rPr>
                <w:color w:val="000000"/>
                <w:sz w:val="22"/>
                <w:szCs w:val="22"/>
              </w:rPr>
            </w:pPr>
            <w:r>
              <w:rPr>
                <w:color w:val="000000"/>
                <w:sz w:val="22"/>
                <w:szCs w:val="22"/>
              </w:rPr>
              <w:t>1.07 (0.79, 1.44)</w:t>
            </w:r>
          </w:p>
        </w:tc>
        <w:tc>
          <w:tcPr>
            <w:tcW w:w="1757" w:type="dxa"/>
            <w:tcBorders>
              <w:top w:val="nil"/>
              <w:left w:val="nil"/>
              <w:bottom w:val="nil"/>
              <w:right w:val="single" w:sz="4" w:space="0" w:color="auto"/>
            </w:tcBorders>
            <w:shd w:val="clear" w:color="auto" w:fill="auto"/>
            <w:noWrap/>
            <w:vAlign w:val="bottom"/>
            <w:hideMark/>
          </w:tcPr>
          <w:p w14:paraId="76050189" w14:textId="77777777" w:rsidR="007E097D" w:rsidRDefault="007E097D">
            <w:pPr>
              <w:jc w:val="center"/>
              <w:rPr>
                <w:color w:val="000000"/>
                <w:sz w:val="22"/>
                <w:szCs w:val="22"/>
              </w:rPr>
            </w:pPr>
            <w:r>
              <w:rPr>
                <w:color w:val="000000"/>
                <w:sz w:val="22"/>
                <w:szCs w:val="22"/>
              </w:rPr>
              <w:t>0.67</w:t>
            </w:r>
          </w:p>
        </w:tc>
      </w:tr>
      <w:tr w:rsidR="007E097D" w14:paraId="2F214B07" w14:textId="77777777" w:rsidTr="00482372">
        <w:trPr>
          <w:trHeight w:val="316"/>
        </w:trPr>
        <w:tc>
          <w:tcPr>
            <w:tcW w:w="6357" w:type="dxa"/>
            <w:tcBorders>
              <w:top w:val="single" w:sz="4" w:space="0" w:color="auto"/>
              <w:left w:val="single" w:sz="4" w:space="0" w:color="auto"/>
              <w:bottom w:val="nil"/>
              <w:right w:val="nil"/>
            </w:tcBorders>
            <w:shd w:val="clear" w:color="auto" w:fill="auto"/>
            <w:noWrap/>
            <w:vAlign w:val="bottom"/>
            <w:hideMark/>
          </w:tcPr>
          <w:p w14:paraId="09FB42E2" w14:textId="77777777" w:rsidR="007E097D" w:rsidRDefault="007E097D">
            <w:pPr>
              <w:rPr>
                <w:b/>
                <w:bCs/>
                <w:color w:val="000000"/>
                <w:sz w:val="22"/>
                <w:szCs w:val="22"/>
              </w:rPr>
            </w:pPr>
            <w:r>
              <w:rPr>
                <w:b/>
                <w:bCs/>
                <w:color w:val="000000"/>
                <w:sz w:val="22"/>
                <w:szCs w:val="22"/>
              </w:rPr>
              <w:t xml:space="preserve">Comorbidities </w:t>
            </w:r>
            <w:r>
              <w:rPr>
                <w:color w:val="000000"/>
                <w:sz w:val="22"/>
                <w:szCs w:val="22"/>
              </w:rPr>
              <w:t>(absent compared to present)</w:t>
            </w:r>
          </w:p>
        </w:tc>
        <w:tc>
          <w:tcPr>
            <w:tcW w:w="2736" w:type="dxa"/>
            <w:tcBorders>
              <w:top w:val="single" w:sz="4" w:space="0" w:color="auto"/>
              <w:left w:val="single" w:sz="4" w:space="0" w:color="auto"/>
              <w:bottom w:val="nil"/>
              <w:right w:val="single" w:sz="4" w:space="0" w:color="auto"/>
            </w:tcBorders>
            <w:shd w:val="clear" w:color="auto" w:fill="auto"/>
            <w:noWrap/>
            <w:vAlign w:val="bottom"/>
            <w:hideMark/>
          </w:tcPr>
          <w:p w14:paraId="07417FF8" w14:textId="77777777" w:rsidR="007E097D" w:rsidRDefault="007E097D">
            <w:pPr>
              <w:jc w:val="center"/>
              <w:rPr>
                <w:color w:val="000000"/>
                <w:sz w:val="22"/>
                <w:szCs w:val="22"/>
              </w:rPr>
            </w:pPr>
            <w:r>
              <w:rPr>
                <w:color w:val="000000"/>
                <w:sz w:val="22"/>
                <w:szCs w:val="22"/>
              </w:rPr>
              <w:t> </w:t>
            </w:r>
          </w:p>
        </w:tc>
        <w:tc>
          <w:tcPr>
            <w:tcW w:w="1757" w:type="dxa"/>
            <w:tcBorders>
              <w:top w:val="single" w:sz="4" w:space="0" w:color="auto"/>
              <w:left w:val="nil"/>
              <w:bottom w:val="nil"/>
              <w:right w:val="single" w:sz="4" w:space="0" w:color="auto"/>
            </w:tcBorders>
            <w:shd w:val="clear" w:color="auto" w:fill="auto"/>
            <w:noWrap/>
            <w:vAlign w:val="bottom"/>
            <w:hideMark/>
          </w:tcPr>
          <w:p w14:paraId="76D6F27B" w14:textId="77777777" w:rsidR="007E097D" w:rsidRDefault="007E097D">
            <w:pPr>
              <w:jc w:val="center"/>
              <w:rPr>
                <w:color w:val="000000"/>
                <w:sz w:val="22"/>
                <w:szCs w:val="22"/>
              </w:rPr>
            </w:pPr>
            <w:r>
              <w:rPr>
                <w:color w:val="000000"/>
                <w:sz w:val="22"/>
                <w:szCs w:val="22"/>
              </w:rPr>
              <w:t> </w:t>
            </w:r>
          </w:p>
        </w:tc>
      </w:tr>
      <w:tr w:rsidR="007E097D" w14:paraId="178E322B" w14:textId="77777777" w:rsidTr="00482372">
        <w:trPr>
          <w:trHeight w:val="316"/>
        </w:trPr>
        <w:tc>
          <w:tcPr>
            <w:tcW w:w="6357" w:type="dxa"/>
            <w:tcBorders>
              <w:top w:val="nil"/>
              <w:left w:val="single" w:sz="4" w:space="0" w:color="auto"/>
              <w:bottom w:val="nil"/>
              <w:right w:val="nil"/>
            </w:tcBorders>
            <w:shd w:val="clear" w:color="auto" w:fill="auto"/>
            <w:noWrap/>
            <w:vAlign w:val="bottom"/>
            <w:hideMark/>
          </w:tcPr>
          <w:p w14:paraId="2B480637" w14:textId="77777777" w:rsidR="007E097D" w:rsidRDefault="007E097D">
            <w:pPr>
              <w:ind w:firstLineChars="100" w:firstLine="220"/>
              <w:rPr>
                <w:color w:val="000000"/>
                <w:sz w:val="22"/>
                <w:szCs w:val="22"/>
              </w:rPr>
            </w:pPr>
            <w:r>
              <w:rPr>
                <w:color w:val="000000"/>
                <w:sz w:val="22"/>
                <w:szCs w:val="22"/>
              </w:rPr>
              <w:t xml:space="preserve">Pulmonary hypertension ever </w:t>
            </w:r>
          </w:p>
        </w:tc>
        <w:tc>
          <w:tcPr>
            <w:tcW w:w="2736" w:type="dxa"/>
            <w:tcBorders>
              <w:top w:val="nil"/>
              <w:left w:val="single" w:sz="4" w:space="0" w:color="auto"/>
              <w:bottom w:val="nil"/>
              <w:right w:val="single" w:sz="4" w:space="0" w:color="auto"/>
            </w:tcBorders>
            <w:shd w:val="clear" w:color="auto" w:fill="auto"/>
            <w:noWrap/>
            <w:vAlign w:val="bottom"/>
            <w:hideMark/>
          </w:tcPr>
          <w:p w14:paraId="05232814" w14:textId="77777777" w:rsidR="007E097D" w:rsidRDefault="007E097D">
            <w:pPr>
              <w:jc w:val="center"/>
              <w:rPr>
                <w:color w:val="000000"/>
                <w:sz w:val="22"/>
                <w:szCs w:val="22"/>
              </w:rPr>
            </w:pPr>
            <w:r>
              <w:rPr>
                <w:color w:val="000000"/>
                <w:sz w:val="22"/>
                <w:szCs w:val="22"/>
              </w:rPr>
              <w:t>0.83 (0.45, 1.54)</w:t>
            </w:r>
          </w:p>
        </w:tc>
        <w:tc>
          <w:tcPr>
            <w:tcW w:w="1757" w:type="dxa"/>
            <w:tcBorders>
              <w:top w:val="nil"/>
              <w:left w:val="nil"/>
              <w:bottom w:val="nil"/>
              <w:right w:val="single" w:sz="4" w:space="0" w:color="auto"/>
            </w:tcBorders>
            <w:shd w:val="clear" w:color="auto" w:fill="auto"/>
            <w:noWrap/>
            <w:vAlign w:val="bottom"/>
            <w:hideMark/>
          </w:tcPr>
          <w:p w14:paraId="30C52E4E" w14:textId="77777777" w:rsidR="007E097D" w:rsidRDefault="007E097D">
            <w:pPr>
              <w:jc w:val="center"/>
              <w:rPr>
                <w:color w:val="000000"/>
                <w:sz w:val="22"/>
                <w:szCs w:val="22"/>
              </w:rPr>
            </w:pPr>
            <w:r>
              <w:rPr>
                <w:color w:val="000000"/>
                <w:sz w:val="22"/>
                <w:szCs w:val="22"/>
              </w:rPr>
              <w:t>0.56</w:t>
            </w:r>
          </w:p>
        </w:tc>
      </w:tr>
      <w:tr w:rsidR="007E097D" w14:paraId="13EB7C70" w14:textId="77777777" w:rsidTr="00482372">
        <w:trPr>
          <w:trHeight w:val="316"/>
        </w:trPr>
        <w:tc>
          <w:tcPr>
            <w:tcW w:w="6357" w:type="dxa"/>
            <w:tcBorders>
              <w:top w:val="nil"/>
              <w:left w:val="single" w:sz="4" w:space="0" w:color="auto"/>
              <w:bottom w:val="nil"/>
              <w:right w:val="nil"/>
            </w:tcBorders>
            <w:shd w:val="clear" w:color="auto" w:fill="auto"/>
            <w:noWrap/>
            <w:vAlign w:val="bottom"/>
            <w:hideMark/>
          </w:tcPr>
          <w:p w14:paraId="45274834" w14:textId="77777777" w:rsidR="007E097D" w:rsidRDefault="007E097D">
            <w:pPr>
              <w:ind w:firstLineChars="100" w:firstLine="220"/>
              <w:rPr>
                <w:color w:val="000000"/>
                <w:sz w:val="22"/>
                <w:szCs w:val="22"/>
              </w:rPr>
            </w:pPr>
            <w:r>
              <w:rPr>
                <w:color w:val="000000"/>
                <w:sz w:val="22"/>
                <w:szCs w:val="22"/>
              </w:rPr>
              <w:t>Pulmonary hypertension at discharge</w:t>
            </w:r>
          </w:p>
        </w:tc>
        <w:tc>
          <w:tcPr>
            <w:tcW w:w="2736" w:type="dxa"/>
            <w:tcBorders>
              <w:top w:val="nil"/>
              <w:left w:val="single" w:sz="4" w:space="0" w:color="auto"/>
              <w:bottom w:val="nil"/>
              <w:right w:val="single" w:sz="4" w:space="0" w:color="auto"/>
            </w:tcBorders>
            <w:shd w:val="clear" w:color="auto" w:fill="auto"/>
            <w:noWrap/>
            <w:vAlign w:val="bottom"/>
            <w:hideMark/>
          </w:tcPr>
          <w:p w14:paraId="0F09CFA8" w14:textId="77777777" w:rsidR="007E097D" w:rsidRDefault="007E097D">
            <w:pPr>
              <w:jc w:val="center"/>
              <w:rPr>
                <w:color w:val="000000"/>
                <w:sz w:val="22"/>
                <w:szCs w:val="22"/>
              </w:rPr>
            </w:pPr>
            <w:r>
              <w:rPr>
                <w:color w:val="000000"/>
                <w:sz w:val="22"/>
                <w:szCs w:val="22"/>
              </w:rPr>
              <w:t>1.03 (0.60, 1.76)</w:t>
            </w:r>
          </w:p>
        </w:tc>
        <w:tc>
          <w:tcPr>
            <w:tcW w:w="1757" w:type="dxa"/>
            <w:tcBorders>
              <w:top w:val="nil"/>
              <w:left w:val="nil"/>
              <w:bottom w:val="nil"/>
              <w:right w:val="single" w:sz="4" w:space="0" w:color="auto"/>
            </w:tcBorders>
            <w:shd w:val="clear" w:color="auto" w:fill="auto"/>
            <w:noWrap/>
            <w:vAlign w:val="bottom"/>
            <w:hideMark/>
          </w:tcPr>
          <w:p w14:paraId="06700E91" w14:textId="77777777" w:rsidR="007E097D" w:rsidRDefault="007E097D">
            <w:pPr>
              <w:jc w:val="center"/>
              <w:rPr>
                <w:rFonts w:ascii="Times Roman" w:hAnsi="Times Roman" w:cs="Calibri"/>
                <w:color w:val="000000"/>
                <w:sz w:val="22"/>
                <w:szCs w:val="22"/>
              </w:rPr>
            </w:pPr>
            <w:r>
              <w:rPr>
                <w:rFonts w:ascii="Times Roman" w:hAnsi="Times Roman" w:cs="Calibri"/>
                <w:color w:val="000000"/>
                <w:sz w:val="22"/>
                <w:szCs w:val="22"/>
              </w:rPr>
              <w:t>0.93</w:t>
            </w:r>
          </w:p>
        </w:tc>
      </w:tr>
      <w:tr w:rsidR="007E097D" w14:paraId="3B703C88" w14:textId="77777777" w:rsidTr="00482372">
        <w:trPr>
          <w:trHeight w:val="316"/>
        </w:trPr>
        <w:tc>
          <w:tcPr>
            <w:tcW w:w="6357" w:type="dxa"/>
            <w:tcBorders>
              <w:top w:val="nil"/>
              <w:left w:val="single" w:sz="4" w:space="0" w:color="auto"/>
              <w:bottom w:val="nil"/>
              <w:right w:val="nil"/>
            </w:tcBorders>
            <w:shd w:val="clear" w:color="auto" w:fill="auto"/>
            <w:noWrap/>
            <w:vAlign w:val="bottom"/>
            <w:hideMark/>
          </w:tcPr>
          <w:p w14:paraId="4C118B29" w14:textId="77777777" w:rsidR="007E097D" w:rsidRDefault="007E097D">
            <w:pPr>
              <w:ind w:firstLineChars="100" w:firstLine="220"/>
              <w:rPr>
                <w:color w:val="000000"/>
                <w:sz w:val="22"/>
                <w:szCs w:val="22"/>
              </w:rPr>
            </w:pPr>
            <w:r>
              <w:rPr>
                <w:color w:val="000000"/>
                <w:sz w:val="22"/>
                <w:szCs w:val="22"/>
              </w:rPr>
              <w:t xml:space="preserve">High-intensive neurologic impairment </w:t>
            </w:r>
          </w:p>
        </w:tc>
        <w:tc>
          <w:tcPr>
            <w:tcW w:w="2736" w:type="dxa"/>
            <w:tcBorders>
              <w:top w:val="nil"/>
              <w:left w:val="single" w:sz="4" w:space="0" w:color="auto"/>
              <w:bottom w:val="nil"/>
              <w:right w:val="single" w:sz="4" w:space="0" w:color="auto"/>
            </w:tcBorders>
            <w:shd w:val="clear" w:color="auto" w:fill="auto"/>
            <w:noWrap/>
            <w:vAlign w:val="bottom"/>
            <w:hideMark/>
          </w:tcPr>
          <w:p w14:paraId="58147FC1" w14:textId="77777777" w:rsidR="007E097D" w:rsidRDefault="007E097D">
            <w:pPr>
              <w:jc w:val="center"/>
              <w:rPr>
                <w:b/>
                <w:bCs/>
                <w:color w:val="000000"/>
                <w:sz w:val="22"/>
                <w:szCs w:val="22"/>
              </w:rPr>
            </w:pPr>
            <w:r>
              <w:rPr>
                <w:b/>
                <w:bCs/>
                <w:color w:val="000000"/>
                <w:sz w:val="22"/>
                <w:szCs w:val="22"/>
              </w:rPr>
              <w:t>0.38 (0.18, 0.78)</w:t>
            </w:r>
          </w:p>
        </w:tc>
        <w:tc>
          <w:tcPr>
            <w:tcW w:w="1757" w:type="dxa"/>
            <w:tcBorders>
              <w:top w:val="nil"/>
              <w:left w:val="nil"/>
              <w:bottom w:val="nil"/>
              <w:right w:val="single" w:sz="4" w:space="0" w:color="auto"/>
            </w:tcBorders>
            <w:shd w:val="clear" w:color="auto" w:fill="auto"/>
            <w:noWrap/>
            <w:vAlign w:val="bottom"/>
            <w:hideMark/>
          </w:tcPr>
          <w:p w14:paraId="2576037B" w14:textId="77777777" w:rsidR="007E097D" w:rsidRDefault="007E097D">
            <w:pPr>
              <w:jc w:val="center"/>
              <w:rPr>
                <w:b/>
                <w:bCs/>
                <w:color w:val="000000"/>
                <w:sz w:val="22"/>
                <w:szCs w:val="22"/>
              </w:rPr>
            </w:pPr>
            <w:r>
              <w:rPr>
                <w:b/>
                <w:bCs/>
                <w:color w:val="000000"/>
                <w:sz w:val="22"/>
                <w:szCs w:val="22"/>
              </w:rPr>
              <w:t>&lt;0.01</w:t>
            </w:r>
          </w:p>
        </w:tc>
      </w:tr>
      <w:tr w:rsidR="007E097D" w14:paraId="09D853C7" w14:textId="77777777" w:rsidTr="00482372">
        <w:trPr>
          <w:trHeight w:val="316"/>
        </w:trPr>
        <w:tc>
          <w:tcPr>
            <w:tcW w:w="6357" w:type="dxa"/>
            <w:tcBorders>
              <w:top w:val="nil"/>
              <w:left w:val="single" w:sz="4" w:space="0" w:color="auto"/>
              <w:bottom w:val="single" w:sz="4" w:space="0" w:color="auto"/>
              <w:right w:val="nil"/>
            </w:tcBorders>
            <w:shd w:val="clear" w:color="auto" w:fill="auto"/>
            <w:noWrap/>
            <w:vAlign w:val="bottom"/>
            <w:hideMark/>
          </w:tcPr>
          <w:p w14:paraId="5BCF05BF" w14:textId="77777777" w:rsidR="007E097D" w:rsidRDefault="007E097D">
            <w:pPr>
              <w:ind w:firstLineChars="100" w:firstLine="220"/>
              <w:rPr>
                <w:color w:val="000000"/>
                <w:sz w:val="22"/>
                <w:szCs w:val="22"/>
              </w:rPr>
            </w:pPr>
            <w:r>
              <w:rPr>
                <w:color w:val="000000"/>
                <w:sz w:val="22"/>
                <w:szCs w:val="22"/>
              </w:rPr>
              <w:t xml:space="preserve">Complex congenital heart condition </w:t>
            </w:r>
          </w:p>
        </w:tc>
        <w:tc>
          <w:tcPr>
            <w:tcW w:w="2736" w:type="dxa"/>
            <w:tcBorders>
              <w:top w:val="nil"/>
              <w:left w:val="single" w:sz="4" w:space="0" w:color="auto"/>
              <w:bottom w:val="single" w:sz="4" w:space="0" w:color="auto"/>
              <w:right w:val="single" w:sz="4" w:space="0" w:color="auto"/>
            </w:tcBorders>
            <w:shd w:val="clear" w:color="auto" w:fill="auto"/>
            <w:noWrap/>
            <w:vAlign w:val="bottom"/>
            <w:hideMark/>
          </w:tcPr>
          <w:p w14:paraId="301C5025" w14:textId="77777777" w:rsidR="007E097D" w:rsidRDefault="007E097D">
            <w:pPr>
              <w:jc w:val="center"/>
              <w:rPr>
                <w:rFonts w:ascii="Times Roman" w:hAnsi="Times Roman" w:cs="Calibri"/>
                <w:color w:val="000000"/>
                <w:sz w:val="22"/>
                <w:szCs w:val="22"/>
              </w:rPr>
            </w:pPr>
            <w:r>
              <w:rPr>
                <w:rFonts w:ascii="Times Roman" w:hAnsi="Times Roman" w:cs="Calibri"/>
                <w:color w:val="000000"/>
                <w:sz w:val="22"/>
                <w:szCs w:val="22"/>
              </w:rPr>
              <w:t>1.10 (0.39, 3.06)</w:t>
            </w:r>
          </w:p>
        </w:tc>
        <w:tc>
          <w:tcPr>
            <w:tcW w:w="1757" w:type="dxa"/>
            <w:tcBorders>
              <w:top w:val="nil"/>
              <w:left w:val="nil"/>
              <w:bottom w:val="single" w:sz="4" w:space="0" w:color="auto"/>
              <w:right w:val="single" w:sz="4" w:space="0" w:color="auto"/>
            </w:tcBorders>
            <w:shd w:val="clear" w:color="auto" w:fill="auto"/>
            <w:noWrap/>
            <w:vAlign w:val="bottom"/>
            <w:hideMark/>
          </w:tcPr>
          <w:p w14:paraId="493B7A86" w14:textId="77777777" w:rsidR="007E097D" w:rsidRDefault="007E097D">
            <w:pPr>
              <w:jc w:val="center"/>
              <w:rPr>
                <w:color w:val="000000"/>
                <w:sz w:val="22"/>
                <w:szCs w:val="22"/>
              </w:rPr>
            </w:pPr>
            <w:r>
              <w:rPr>
                <w:color w:val="000000"/>
                <w:sz w:val="22"/>
                <w:szCs w:val="22"/>
              </w:rPr>
              <w:t>0.86</w:t>
            </w:r>
          </w:p>
        </w:tc>
      </w:tr>
      <w:tr w:rsidR="007E097D" w14:paraId="1E6EB41D" w14:textId="77777777" w:rsidTr="00482372">
        <w:trPr>
          <w:trHeight w:val="316"/>
        </w:trPr>
        <w:tc>
          <w:tcPr>
            <w:tcW w:w="6357" w:type="dxa"/>
            <w:tcBorders>
              <w:top w:val="nil"/>
              <w:left w:val="single" w:sz="4" w:space="0" w:color="auto"/>
              <w:bottom w:val="nil"/>
              <w:right w:val="nil"/>
            </w:tcBorders>
            <w:shd w:val="clear" w:color="auto" w:fill="auto"/>
            <w:noWrap/>
            <w:vAlign w:val="bottom"/>
            <w:hideMark/>
          </w:tcPr>
          <w:p w14:paraId="4B12BEC0" w14:textId="77777777" w:rsidR="007E097D" w:rsidRDefault="007E097D">
            <w:pPr>
              <w:rPr>
                <w:b/>
                <w:bCs/>
                <w:color w:val="000000"/>
                <w:sz w:val="22"/>
                <w:szCs w:val="22"/>
              </w:rPr>
            </w:pPr>
            <w:r>
              <w:rPr>
                <w:b/>
                <w:bCs/>
                <w:color w:val="000000"/>
                <w:sz w:val="22"/>
                <w:szCs w:val="22"/>
              </w:rPr>
              <w:t>Index Hospitalization Information</w:t>
            </w:r>
          </w:p>
        </w:tc>
        <w:tc>
          <w:tcPr>
            <w:tcW w:w="2736" w:type="dxa"/>
            <w:tcBorders>
              <w:top w:val="nil"/>
              <w:left w:val="single" w:sz="4" w:space="0" w:color="auto"/>
              <w:bottom w:val="nil"/>
              <w:right w:val="single" w:sz="4" w:space="0" w:color="auto"/>
            </w:tcBorders>
            <w:shd w:val="clear" w:color="auto" w:fill="auto"/>
            <w:noWrap/>
            <w:vAlign w:val="bottom"/>
            <w:hideMark/>
          </w:tcPr>
          <w:p w14:paraId="292CB434" w14:textId="77777777" w:rsidR="007E097D" w:rsidRDefault="007E097D">
            <w:pPr>
              <w:jc w:val="center"/>
              <w:rPr>
                <w:color w:val="000000"/>
                <w:sz w:val="22"/>
                <w:szCs w:val="22"/>
              </w:rPr>
            </w:pPr>
            <w:r>
              <w:rPr>
                <w:color w:val="000000"/>
                <w:sz w:val="22"/>
                <w:szCs w:val="22"/>
              </w:rPr>
              <w:t> </w:t>
            </w:r>
          </w:p>
        </w:tc>
        <w:tc>
          <w:tcPr>
            <w:tcW w:w="1757" w:type="dxa"/>
            <w:tcBorders>
              <w:top w:val="nil"/>
              <w:left w:val="nil"/>
              <w:bottom w:val="nil"/>
              <w:right w:val="single" w:sz="4" w:space="0" w:color="auto"/>
            </w:tcBorders>
            <w:shd w:val="clear" w:color="auto" w:fill="auto"/>
            <w:noWrap/>
            <w:vAlign w:val="bottom"/>
            <w:hideMark/>
          </w:tcPr>
          <w:p w14:paraId="3309EA4F" w14:textId="77777777" w:rsidR="007E097D" w:rsidRDefault="007E097D">
            <w:pPr>
              <w:jc w:val="center"/>
              <w:rPr>
                <w:rFonts w:ascii="Times Roman" w:hAnsi="Times Roman" w:cs="Calibri"/>
                <w:color w:val="000000"/>
                <w:sz w:val="22"/>
                <w:szCs w:val="22"/>
              </w:rPr>
            </w:pPr>
            <w:r>
              <w:rPr>
                <w:rFonts w:ascii="Times Roman" w:hAnsi="Times Roman" w:cs="Calibri"/>
                <w:color w:val="000000"/>
                <w:sz w:val="22"/>
                <w:szCs w:val="22"/>
              </w:rPr>
              <w:t> </w:t>
            </w:r>
          </w:p>
        </w:tc>
      </w:tr>
      <w:tr w:rsidR="007E097D" w14:paraId="13FB421D" w14:textId="77777777" w:rsidTr="00482372">
        <w:trPr>
          <w:trHeight w:val="316"/>
        </w:trPr>
        <w:tc>
          <w:tcPr>
            <w:tcW w:w="6357" w:type="dxa"/>
            <w:tcBorders>
              <w:top w:val="nil"/>
              <w:left w:val="single" w:sz="4" w:space="0" w:color="auto"/>
              <w:bottom w:val="nil"/>
              <w:right w:val="nil"/>
            </w:tcBorders>
            <w:shd w:val="clear" w:color="auto" w:fill="auto"/>
            <w:noWrap/>
            <w:vAlign w:val="bottom"/>
            <w:hideMark/>
          </w:tcPr>
          <w:p w14:paraId="18008717" w14:textId="77777777" w:rsidR="007E097D" w:rsidRDefault="007E097D">
            <w:pPr>
              <w:ind w:firstLineChars="100" w:firstLine="220"/>
              <w:rPr>
                <w:color w:val="000000"/>
                <w:sz w:val="22"/>
                <w:szCs w:val="22"/>
              </w:rPr>
            </w:pPr>
            <w:r>
              <w:rPr>
                <w:color w:val="000000"/>
                <w:sz w:val="22"/>
                <w:szCs w:val="22"/>
              </w:rPr>
              <w:t>Age at discharge (standardized)</w:t>
            </w:r>
          </w:p>
        </w:tc>
        <w:tc>
          <w:tcPr>
            <w:tcW w:w="2736" w:type="dxa"/>
            <w:tcBorders>
              <w:top w:val="nil"/>
              <w:left w:val="single" w:sz="4" w:space="0" w:color="auto"/>
              <w:bottom w:val="nil"/>
              <w:right w:val="single" w:sz="4" w:space="0" w:color="auto"/>
            </w:tcBorders>
            <w:shd w:val="clear" w:color="auto" w:fill="auto"/>
            <w:noWrap/>
            <w:vAlign w:val="center"/>
            <w:hideMark/>
          </w:tcPr>
          <w:p w14:paraId="674B4CED" w14:textId="77777777" w:rsidR="007E097D" w:rsidRDefault="007E097D">
            <w:pPr>
              <w:jc w:val="center"/>
              <w:rPr>
                <w:b/>
                <w:bCs/>
                <w:color w:val="000000"/>
                <w:sz w:val="22"/>
                <w:szCs w:val="22"/>
              </w:rPr>
            </w:pPr>
            <w:r>
              <w:rPr>
                <w:b/>
                <w:bCs/>
                <w:color w:val="000000"/>
                <w:sz w:val="22"/>
                <w:szCs w:val="22"/>
              </w:rPr>
              <w:t>0.61 (0.44, 0.84)</w:t>
            </w:r>
          </w:p>
        </w:tc>
        <w:tc>
          <w:tcPr>
            <w:tcW w:w="1757" w:type="dxa"/>
            <w:tcBorders>
              <w:top w:val="nil"/>
              <w:left w:val="nil"/>
              <w:bottom w:val="nil"/>
              <w:right w:val="single" w:sz="4" w:space="0" w:color="auto"/>
            </w:tcBorders>
            <w:shd w:val="clear" w:color="auto" w:fill="auto"/>
            <w:noWrap/>
            <w:vAlign w:val="center"/>
            <w:hideMark/>
          </w:tcPr>
          <w:p w14:paraId="4ED31C8E" w14:textId="77777777" w:rsidR="007E097D" w:rsidRDefault="007E097D">
            <w:pPr>
              <w:jc w:val="center"/>
              <w:rPr>
                <w:b/>
                <w:bCs/>
                <w:color w:val="000000"/>
                <w:sz w:val="22"/>
                <w:szCs w:val="22"/>
              </w:rPr>
            </w:pPr>
            <w:r>
              <w:rPr>
                <w:b/>
                <w:bCs/>
                <w:color w:val="000000"/>
                <w:sz w:val="22"/>
                <w:szCs w:val="22"/>
              </w:rPr>
              <w:t>&lt;0.01</w:t>
            </w:r>
          </w:p>
        </w:tc>
      </w:tr>
      <w:tr w:rsidR="007E097D" w14:paraId="3FE656F8" w14:textId="77777777" w:rsidTr="00482372">
        <w:trPr>
          <w:trHeight w:val="316"/>
        </w:trPr>
        <w:tc>
          <w:tcPr>
            <w:tcW w:w="6357" w:type="dxa"/>
            <w:tcBorders>
              <w:top w:val="nil"/>
              <w:left w:val="single" w:sz="4" w:space="0" w:color="auto"/>
              <w:bottom w:val="nil"/>
              <w:right w:val="nil"/>
            </w:tcBorders>
            <w:shd w:val="clear" w:color="auto" w:fill="auto"/>
            <w:noWrap/>
            <w:vAlign w:val="bottom"/>
            <w:hideMark/>
          </w:tcPr>
          <w:p w14:paraId="292413CD" w14:textId="77777777" w:rsidR="007E097D" w:rsidRDefault="007E097D">
            <w:pPr>
              <w:ind w:firstLineChars="100" w:firstLine="220"/>
              <w:rPr>
                <w:color w:val="000000"/>
                <w:sz w:val="22"/>
                <w:szCs w:val="22"/>
              </w:rPr>
            </w:pPr>
            <w:r>
              <w:rPr>
                <w:color w:val="000000"/>
                <w:sz w:val="22"/>
                <w:szCs w:val="22"/>
              </w:rPr>
              <w:t>Corrected tracheostomy age (standardized)</w:t>
            </w:r>
          </w:p>
        </w:tc>
        <w:tc>
          <w:tcPr>
            <w:tcW w:w="2736" w:type="dxa"/>
            <w:tcBorders>
              <w:top w:val="nil"/>
              <w:left w:val="single" w:sz="4" w:space="0" w:color="auto"/>
              <w:bottom w:val="nil"/>
              <w:right w:val="single" w:sz="4" w:space="0" w:color="auto"/>
            </w:tcBorders>
            <w:shd w:val="clear" w:color="auto" w:fill="auto"/>
            <w:noWrap/>
            <w:vAlign w:val="center"/>
            <w:hideMark/>
          </w:tcPr>
          <w:p w14:paraId="68185AF7" w14:textId="77777777" w:rsidR="007E097D" w:rsidRDefault="007E097D">
            <w:pPr>
              <w:jc w:val="center"/>
              <w:rPr>
                <w:b/>
                <w:bCs/>
                <w:color w:val="000000"/>
                <w:sz w:val="22"/>
                <w:szCs w:val="22"/>
              </w:rPr>
            </w:pPr>
            <w:r>
              <w:rPr>
                <w:b/>
                <w:bCs/>
                <w:color w:val="000000"/>
                <w:sz w:val="22"/>
                <w:szCs w:val="22"/>
              </w:rPr>
              <w:t>0.69 (0.53, 0.91)</w:t>
            </w:r>
          </w:p>
        </w:tc>
        <w:tc>
          <w:tcPr>
            <w:tcW w:w="1757" w:type="dxa"/>
            <w:tcBorders>
              <w:top w:val="nil"/>
              <w:left w:val="nil"/>
              <w:bottom w:val="nil"/>
              <w:right w:val="single" w:sz="4" w:space="0" w:color="auto"/>
            </w:tcBorders>
            <w:shd w:val="clear" w:color="auto" w:fill="auto"/>
            <w:noWrap/>
            <w:vAlign w:val="center"/>
            <w:hideMark/>
          </w:tcPr>
          <w:p w14:paraId="0966981D" w14:textId="77777777" w:rsidR="007E097D" w:rsidRDefault="007E097D">
            <w:pPr>
              <w:jc w:val="center"/>
              <w:rPr>
                <w:b/>
                <w:bCs/>
                <w:color w:val="000000"/>
                <w:sz w:val="22"/>
                <w:szCs w:val="22"/>
              </w:rPr>
            </w:pPr>
            <w:r>
              <w:rPr>
                <w:b/>
                <w:bCs/>
                <w:color w:val="000000"/>
                <w:sz w:val="22"/>
                <w:szCs w:val="22"/>
              </w:rPr>
              <w:t>&lt;0.01</w:t>
            </w:r>
          </w:p>
        </w:tc>
      </w:tr>
      <w:tr w:rsidR="007E097D" w14:paraId="4783F981" w14:textId="77777777" w:rsidTr="00482372">
        <w:trPr>
          <w:trHeight w:val="316"/>
        </w:trPr>
        <w:tc>
          <w:tcPr>
            <w:tcW w:w="6357" w:type="dxa"/>
            <w:tcBorders>
              <w:top w:val="nil"/>
              <w:left w:val="single" w:sz="4" w:space="0" w:color="auto"/>
              <w:bottom w:val="nil"/>
              <w:right w:val="nil"/>
            </w:tcBorders>
            <w:shd w:val="clear" w:color="auto" w:fill="auto"/>
            <w:noWrap/>
            <w:vAlign w:val="bottom"/>
            <w:hideMark/>
          </w:tcPr>
          <w:p w14:paraId="02A3380C" w14:textId="77777777" w:rsidR="007E097D" w:rsidRDefault="007E097D">
            <w:pPr>
              <w:ind w:firstLineChars="100" w:firstLine="220"/>
              <w:rPr>
                <w:color w:val="000000"/>
                <w:sz w:val="22"/>
                <w:szCs w:val="22"/>
              </w:rPr>
            </w:pPr>
            <w:r>
              <w:rPr>
                <w:color w:val="000000"/>
                <w:sz w:val="22"/>
                <w:szCs w:val="22"/>
              </w:rPr>
              <w:t>Oxygen use at discharge (non-use compared to use)</w:t>
            </w:r>
          </w:p>
        </w:tc>
        <w:tc>
          <w:tcPr>
            <w:tcW w:w="2736" w:type="dxa"/>
            <w:tcBorders>
              <w:top w:val="nil"/>
              <w:left w:val="single" w:sz="4" w:space="0" w:color="auto"/>
              <w:bottom w:val="nil"/>
              <w:right w:val="single" w:sz="4" w:space="0" w:color="auto"/>
            </w:tcBorders>
            <w:shd w:val="clear" w:color="auto" w:fill="auto"/>
            <w:noWrap/>
            <w:vAlign w:val="center"/>
            <w:hideMark/>
          </w:tcPr>
          <w:p w14:paraId="4AA9D091" w14:textId="77777777" w:rsidR="007E097D" w:rsidRDefault="007E097D">
            <w:pPr>
              <w:jc w:val="center"/>
              <w:rPr>
                <w:color w:val="000000"/>
                <w:sz w:val="22"/>
                <w:szCs w:val="22"/>
              </w:rPr>
            </w:pPr>
            <w:r>
              <w:rPr>
                <w:color w:val="000000"/>
                <w:sz w:val="22"/>
                <w:szCs w:val="22"/>
              </w:rPr>
              <w:t xml:space="preserve">0.65 (0.38, 1.10) </w:t>
            </w:r>
          </w:p>
        </w:tc>
        <w:tc>
          <w:tcPr>
            <w:tcW w:w="1757" w:type="dxa"/>
            <w:tcBorders>
              <w:top w:val="nil"/>
              <w:left w:val="nil"/>
              <w:bottom w:val="nil"/>
              <w:right w:val="single" w:sz="4" w:space="0" w:color="auto"/>
            </w:tcBorders>
            <w:shd w:val="clear" w:color="auto" w:fill="auto"/>
            <w:noWrap/>
            <w:vAlign w:val="bottom"/>
            <w:hideMark/>
          </w:tcPr>
          <w:p w14:paraId="6FB32AF5" w14:textId="77777777" w:rsidR="007E097D" w:rsidRDefault="007E097D">
            <w:pPr>
              <w:jc w:val="center"/>
              <w:rPr>
                <w:rFonts w:ascii="Times Roman" w:hAnsi="Times Roman" w:cs="Calibri"/>
                <w:color w:val="000000"/>
                <w:sz w:val="22"/>
                <w:szCs w:val="22"/>
              </w:rPr>
            </w:pPr>
            <w:r>
              <w:rPr>
                <w:rFonts w:ascii="Times Roman" w:hAnsi="Times Roman" w:cs="Calibri"/>
                <w:color w:val="000000"/>
                <w:sz w:val="22"/>
                <w:szCs w:val="22"/>
              </w:rPr>
              <w:t>0.11</w:t>
            </w:r>
          </w:p>
        </w:tc>
      </w:tr>
      <w:tr w:rsidR="007E097D" w14:paraId="7346C3A5" w14:textId="77777777" w:rsidTr="00482372">
        <w:trPr>
          <w:trHeight w:val="316"/>
        </w:trPr>
        <w:tc>
          <w:tcPr>
            <w:tcW w:w="6357" w:type="dxa"/>
            <w:tcBorders>
              <w:top w:val="nil"/>
              <w:left w:val="single" w:sz="4" w:space="0" w:color="auto"/>
              <w:bottom w:val="nil"/>
              <w:right w:val="nil"/>
            </w:tcBorders>
            <w:shd w:val="clear" w:color="auto" w:fill="auto"/>
            <w:noWrap/>
            <w:vAlign w:val="bottom"/>
            <w:hideMark/>
          </w:tcPr>
          <w:p w14:paraId="2D07B77C" w14:textId="77777777" w:rsidR="007E097D" w:rsidRDefault="007E097D">
            <w:pPr>
              <w:ind w:firstLineChars="100" w:firstLine="220"/>
              <w:rPr>
                <w:color w:val="000000"/>
                <w:sz w:val="22"/>
                <w:szCs w:val="22"/>
              </w:rPr>
            </w:pPr>
            <w:r>
              <w:rPr>
                <w:color w:val="000000"/>
                <w:sz w:val="22"/>
                <w:szCs w:val="22"/>
              </w:rPr>
              <w:t>Length/Height Z score at discharge (standardized)</w:t>
            </w:r>
          </w:p>
        </w:tc>
        <w:tc>
          <w:tcPr>
            <w:tcW w:w="2736" w:type="dxa"/>
            <w:tcBorders>
              <w:top w:val="nil"/>
              <w:left w:val="single" w:sz="4" w:space="0" w:color="auto"/>
              <w:bottom w:val="nil"/>
              <w:right w:val="single" w:sz="4" w:space="0" w:color="auto"/>
            </w:tcBorders>
            <w:shd w:val="clear" w:color="auto" w:fill="auto"/>
            <w:noWrap/>
            <w:vAlign w:val="center"/>
            <w:hideMark/>
          </w:tcPr>
          <w:p w14:paraId="1C16DFEC" w14:textId="77777777" w:rsidR="007E097D" w:rsidRDefault="007E097D">
            <w:pPr>
              <w:jc w:val="center"/>
              <w:rPr>
                <w:color w:val="000000"/>
                <w:sz w:val="22"/>
                <w:szCs w:val="22"/>
              </w:rPr>
            </w:pPr>
            <w:r>
              <w:rPr>
                <w:color w:val="000000"/>
                <w:sz w:val="22"/>
                <w:szCs w:val="22"/>
              </w:rPr>
              <w:t>0.90 (0.72, 1.13)</w:t>
            </w:r>
          </w:p>
        </w:tc>
        <w:tc>
          <w:tcPr>
            <w:tcW w:w="1757" w:type="dxa"/>
            <w:tcBorders>
              <w:top w:val="nil"/>
              <w:left w:val="nil"/>
              <w:bottom w:val="nil"/>
              <w:right w:val="single" w:sz="4" w:space="0" w:color="auto"/>
            </w:tcBorders>
            <w:shd w:val="clear" w:color="auto" w:fill="auto"/>
            <w:noWrap/>
            <w:vAlign w:val="bottom"/>
            <w:hideMark/>
          </w:tcPr>
          <w:p w14:paraId="34992C57" w14:textId="77777777" w:rsidR="007E097D" w:rsidRDefault="007E097D">
            <w:pPr>
              <w:jc w:val="center"/>
              <w:rPr>
                <w:rFonts w:ascii="Times Roman" w:hAnsi="Times Roman" w:cs="Calibri"/>
                <w:color w:val="000000"/>
                <w:sz w:val="22"/>
                <w:szCs w:val="22"/>
              </w:rPr>
            </w:pPr>
            <w:r>
              <w:rPr>
                <w:rFonts w:ascii="Times Roman" w:hAnsi="Times Roman" w:cs="Calibri"/>
                <w:color w:val="000000"/>
                <w:sz w:val="22"/>
                <w:szCs w:val="22"/>
              </w:rPr>
              <w:t>0.36</w:t>
            </w:r>
          </w:p>
        </w:tc>
      </w:tr>
      <w:tr w:rsidR="007E097D" w14:paraId="6B88C4A1" w14:textId="77777777" w:rsidTr="00482372">
        <w:trPr>
          <w:trHeight w:val="316"/>
        </w:trPr>
        <w:tc>
          <w:tcPr>
            <w:tcW w:w="6357" w:type="dxa"/>
            <w:tcBorders>
              <w:top w:val="nil"/>
              <w:left w:val="single" w:sz="4" w:space="0" w:color="auto"/>
              <w:bottom w:val="nil"/>
              <w:right w:val="nil"/>
            </w:tcBorders>
            <w:shd w:val="clear" w:color="auto" w:fill="auto"/>
            <w:noWrap/>
            <w:vAlign w:val="bottom"/>
            <w:hideMark/>
          </w:tcPr>
          <w:p w14:paraId="7CCC7A10" w14:textId="77777777" w:rsidR="007E097D" w:rsidRDefault="007E097D">
            <w:pPr>
              <w:ind w:firstLineChars="100" w:firstLine="220"/>
              <w:rPr>
                <w:color w:val="000000"/>
                <w:sz w:val="22"/>
                <w:szCs w:val="22"/>
              </w:rPr>
            </w:pPr>
            <w:r>
              <w:rPr>
                <w:color w:val="000000"/>
                <w:sz w:val="22"/>
                <w:szCs w:val="22"/>
              </w:rPr>
              <w:t>On ventilator 24/7 at discharge versus partial day use</w:t>
            </w:r>
          </w:p>
        </w:tc>
        <w:tc>
          <w:tcPr>
            <w:tcW w:w="2736" w:type="dxa"/>
            <w:tcBorders>
              <w:top w:val="nil"/>
              <w:left w:val="single" w:sz="4" w:space="0" w:color="auto"/>
              <w:bottom w:val="nil"/>
              <w:right w:val="single" w:sz="4" w:space="0" w:color="auto"/>
            </w:tcBorders>
            <w:shd w:val="clear" w:color="auto" w:fill="auto"/>
            <w:noWrap/>
            <w:vAlign w:val="center"/>
            <w:hideMark/>
          </w:tcPr>
          <w:p w14:paraId="4B73B205" w14:textId="77777777" w:rsidR="007E097D" w:rsidRDefault="007E097D">
            <w:pPr>
              <w:jc w:val="center"/>
              <w:rPr>
                <w:color w:val="000000"/>
                <w:sz w:val="22"/>
                <w:szCs w:val="22"/>
              </w:rPr>
            </w:pPr>
            <w:r>
              <w:rPr>
                <w:color w:val="000000"/>
                <w:sz w:val="22"/>
                <w:szCs w:val="22"/>
              </w:rPr>
              <w:t>0.50 (0.22, 1.11)</w:t>
            </w:r>
          </w:p>
        </w:tc>
        <w:tc>
          <w:tcPr>
            <w:tcW w:w="1757" w:type="dxa"/>
            <w:tcBorders>
              <w:top w:val="nil"/>
              <w:left w:val="nil"/>
              <w:bottom w:val="nil"/>
              <w:right w:val="single" w:sz="4" w:space="0" w:color="auto"/>
            </w:tcBorders>
            <w:shd w:val="clear" w:color="auto" w:fill="auto"/>
            <w:noWrap/>
            <w:vAlign w:val="bottom"/>
            <w:hideMark/>
          </w:tcPr>
          <w:p w14:paraId="30814D8C" w14:textId="77777777" w:rsidR="007E097D" w:rsidRDefault="007E097D">
            <w:pPr>
              <w:jc w:val="center"/>
              <w:rPr>
                <w:rFonts w:ascii="Times Roman" w:hAnsi="Times Roman" w:cs="Calibri"/>
                <w:color w:val="000000"/>
              </w:rPr>
            </w:pPr>
            <w:r>
              <w:rPr>
                <w:rFonts w:ascii="Times Roman" w:hAnsi="Times Roman" w:cs="Calibri"/>
                <w:color w:val="000000"/>
              </w:rPr>
              <w:t>0.09</w:t>
            </w:r>
          </w:p>
        </w:tc>
      </w:tr>
      <w:tr w:rsidR="007E097D" w14:paraId="19EAC0F3" w14:textId="77777777" w:rsidTr="00482372">
        <w:trPr>
          <w:trHeight w:val="316"/>
        </w:trPr>
        <w:tc>
          <w:tcPr>
            <w:tcW w:w="6357" w:type="dxa"/>
            <w:tcBorders>
              <w:top w:val="nil"/>
              <w:left w:val="single" w:sz="4" w:space="0" w:color="auto"/>
              <w:bottom w:val="single" w:sz="4" w:space="0" w:color="auto"/>
              <w:right w:val="nil"/>
            </w:tcBorders>
            <w:shd w:val="clear" w:color="auto" w:fill="auto"/>
            <w:noWrap/>
            <w:vAlign w:val="bottom"/>
            <w:hideMark/>
          </w:tcPr>
          <w:p w14:paraId="78EC4D58" w14:textId="77777777" w:rsidR="007E097D" w:rsidRDefault="007E097D">
            <w:pPr>
              <w:ind w:firstLineChars="100" w:firstLine="220"/>
              <w:rPr>
                <w:color w:val="000000"/>
                <w:sz w:val="22"/>
                <w:szCs w:val="22"/>
              </w:rPr>
            </w:pPr>
            <w:r>
              <w:rPr>
                <w:color w:val="000000"/>
                <w:sz w:val="22"/>
                <w:szCs w:val="22"/>
              </w:rPr>
              <w:t>Level of ventilatory support at discharge (standardized)¥</w:t>
            </w:r>
          </w:p>
        </w:tc>
        <w:tc>
          <w:tcPr>
            <w:tcW w:w="2736" w:type="dxa"/>
            <w:tcBorders>
              <w:top w:val="nil"/>
              <w:left w:val="single" w:sz="4" w:space="0" w:color="auto"/>
              <w:bottom w:val="single" w:sz="4" w:space="0" w:color="auto"/>
              <w:right w:val="single" w:sz="4" w:space="0" w:color="auto"/>
            </w:tcBorders>
            <w:shd w:val="clear" w:color="auto" w:fill="auto"/>
            <w:noWrap/>
            <w:vAlign w:val="center"/>
            <w:hideMark/>
          </w:tcPr>
          <w:p w14:paraId="1C6028B9" w14:textId="77777777" w:rsidR="007E097D" w:rsidRDefault="007E097D">
            <w:pPr>
              <w:jc w:val="center"/>
              <w:rPr>
                <w:b/>
                <w:bCs/>
                <w:color w:val="000000"/>
                <w:sz w:val="22"/>
                <w:szCs w:val="22"/>
              </w:rPr>
            </w:pPr>
            <w:r>
              <w:rPr>
                <w:b/>
                <w:bCs/>
                <w:color w:val="000000"/>
                <w:sz w:val="22"/>
                <w:szCs w:val="22"/>
              </w:rPr>
              <w:t>0.69 (0.48, 0.99)</w:t>
            </w:r>
          </w:p>
        </w:tc>
        <w:tc>
          <w:tcPr>
            <w:tcW w:w="1757" w:type="dxa"/>
            <w:tcBorders>
              <w:top w:val="nil"/>
              <w:left w:val="nil"/>
              <w:bottom w:val="single" w:sz="4" w:space="0" w:color="auto"/>
              <w:right w:val="single" w:sz="4" w:space="0" w:color="auto"/>
            </w:tcBorders>
            <w:shd w:val="clear" w:color="auto" w:fill="auto"/>
            <w:noWrap/>
            <w:vAlign w:val="bottom"/>
            <w:hideMark/>
          </w:tcPr>
          <w:p w14:paraId="30070F82" w14:textId="77777777" w:rsidR="007E097D" w:rsidRDefault="007E097D">
            <w:pPr>
              <w:jc w:val="center"/>
              <w:rPr>
                <w:rFonts w:ascii="Times Roman" w:hAnsi="Times Roman" w:cs="Calibri"/>
                <w:b/>
                <w:bCs/>
                <w:color w:val="000000"/>
              </w:rPr>
            </w:pPr>
            <w:r>
              <w:rPr>
                <w:rFonts w:ascii="Times Roman" w:hAnsi="Times Roman" w:cs="Calibri"/>
                <w:b/>
                <w:bCs/>
                <w:color w:val="000000"/>
              </w:rPr>
              <w:t>0.04</w:t>
            </w:r>
          </w:p>
        </w:tc>
      </w:tr>
      <w:tr w:rsidR="007E097D" w14:paraId="6C708F85" w14:textId="77777777" w:rsidTr="00482372">
        <w:trPr>
          <w:trHeight w:val="316"/>
        </w:trPr>
        <w:tc>
          <w:tcPr>
            <w:tcW w:w="6357" w:type="dxa"/>
            <w:tcBorders>
              <w:top w:val="nil"/>
              <w:left w:val="single" w:sz="4" w:space="0" w:color="auto"/>
              <w:bottom w:val="nil"/>
              <w:right w:val="nil"/>
            </w:tcBorders>
            <w:shd w:val="clear" w:color="auto" w:fill="auto"/>
            <w:noWrap/>
            <w:vAlign w:val="bottom"/>
            <w:hideMark/>
          </w:tcPr>
          <w:p w14:paraId="5DF8F222" w14:textId="77777777" w:rsidR="007E097D" w:rsidRDefault="007E097D">
            <w:pPr>
              <w:rPr>
                <w:b/>
                <w:bCs/>
                <w:color w:val="000000"/>
                <w:sz w:val="22"/>
                <w:szCs w:val="22"/>
              </w:rPr>
            </w:pPr>
            <w:r>
              <w:rPr>
                <w:b/>
                <w:bCs/>
                <w:color w:val="000000"/>
                <w:sz w:val="22"/>
                <w:szCs w:val="22"/>
              </w:rPr>
              <w:t xml:space="preserve">Outpatient Primary Pulmonologist </w:t>
            </w:r>
            <w:r>
              <w:rPr>
                <w:color w:val="000000"/>
                <w:sz w:val="22"/>
                <w:szCs w:val="22"/>
              </w:rPr>
              <w:t>(compared to Pulmonologist A)</w:t>
            </w:r>
          </w:p>
        </w:tc>
        <w:tc>
          <w:tcPr>
            <w:tcW w:w="2736" w:type="dxa"/>
            <w:tcBorders>
              <w:top w:val="nil"/>
              <w:left w:val="single" w:sz="4" w:space="0" w:color="auto"/>
              <w:bottom w:val="nil"/>
              <w:right w:val="single" w:sz="4" w:space="0" w:color="auto"/>
            </w:tcBorders>
            <w:shd w:val="clear" w:color="auto" w:fill="auto"/>
            <w:noWrap/>
            <w:vAlign w:val="bottom"/>
            <w:hideMark/>
          </w:tcPr>
          <w:p w14:paraId="326DE39C" w14:textId="77777777" w:rsidR="007E097D" w:rsidRDefault="007E097D">
            <w:pPr>
              <w:jc w:val="center"/>
              <w:rPr>
                <w:color w:val="000000"/>
                <w:sz w:val="22"/>
                <w:szCs w:val="22"/>
              </w:rPr>
            </w:pPr>
            <w:r>
              <w:rPr>
                <w:color w:val="000000"/>
                <w:sz w:val="22"/>
                <w:szCs w:val="22"/>
              </w:rPr>
              <w:t> </w:t>
            </w:r>
          </w:p>
        </w:tc>
        <w:tc>
          <w:tcPr>
            <w:tcW w:w="1757" w:type="dxa"/>
            <w:tcBorders>
              <w:top w:val="nil"/>
              <w:left w:val="nil"/>
              <w:bottom w:val="nil"/>
              <w:right w:val="single" w:sz="4" w:space="0" w:color="auto"/>
            </w:tcBorders>
            <w:shd w:val="clear" w:color="auto" w:fill="auto"/>
            <w:noWrap/>
            <w:vAlign w:val="bottom"/>
            <w:hideMark/>
          </w:tcPr>
          <w:p w14:paraId="3CC1A8AB" w14:textId="77777777" w:rsidR="007E097D" w:rsidRDefault="007E097D">
            <w:pPr>
              <w:rPr>
                <w:rFonts w:ascii="Calibri" w:hAnsi="Calibri" w:cs="Calibri"/>
                <w:color w:val="000000"/>
              </w:rPr>
            </w:pPr>
            <w:r>
              <w:rPr>
                <w:rFonts w:ascii="Calibri" w:hAnsi="Calibri" w:cs="Calibri"/>
                <w:color w:val="000000"/>
              </w:rPr>
              <w:t> </w:t>
            </w:r>
          </w:p>
        </w:tc>
      </w:tr>
      <w:tr w:rsidR="007E097D" w14:paraId="54371236" w14:textId="77777777" w:rsidTr="00482372">
        <w:trPr>
          <w:trHeight w:val="316"/>
        </w:trPr>
        <w:tc>
          <w:tcPr>
            <w:tcW w:w="6357" w:type="dxa"/>
            <w:tcBorders>
              <w:top w:val="nil"/>
              <w:left w:val="single" w:sz="4" w:space="0" w:color="auto"/>
              <w:bottom w:val="nil"/>
              <w:right w:val="nil"/>
            </w:tcBorders>
            <w:shd w:val="clear" w:color="auto" w:fill="auto"/>
            <w:noWrap/>
            <w:vAlign w:val="bottom"/>
            <w:hideMark/>
          </w:tcPr>
          <w:p w14:paraId="353ED4A2" w14:textId="77777777" w:rsidR="007E097D" w:rsidRDefault="007E097D">
            <w:pPr>
              <w:ind w:firstLineChars="100" w:firstLine="220"/>
              <w:rPr>
                <w:color w:val="000000"/>
                <w:sz w:val="22"/>
                <w:szCs w:val="22"/>
              </w:rPr>
            </w:pPr>
            <w:r>
              <w:rPr>
                <w:color w:val="000000"/>
                <w:sz w:val="22"/>
                <w:szCs w:val="22"/>
              </w:rPr>
              <w:t>Pulmonologist B</w:t>
            </w:r>
          </w:p>
        </w:tc>
        <w:tc>
          <w:tcPr>
            <w:tcW w:w="2736" w:type="dxa"/>
            <w:tcBorders>
              <w:top w:val="nil"/>
              <w:left w:val="single" w:sz="4" w:space="0" w:color="auto"/>
              <w:bottom w:val="nil"/>
              <w:right w:val="single" w:sz="4" w:space="0" w:color="auto"/>
            </w:tcBorders>
            <w:shd w:val="clear" w:color="auto" w:fill="auto"/>
            <w:noWrap/>
            <w:vAlign w:val="bottom"/>
            <w:hideMark/>
          </w:tcPr>
          <w:p w14:paraId="4670134F" w14:textId="77777777" w:rsidR="007E097D" w:rsidRDefault="007E097D">
            <w:pPr>
              <w:jc w:val="center"/>
              <w:rPr>
                <w:b/>
                <w:bCs/>
                <w:color w:val="000000"/>
              </w:rPr>
            </w:pPr>
            <w:r>
              <w:rPr>
                <w:b/>
                <w:bCs/>
                <w:color w:val="000000"/>
              </w:rPr>
              <w:t>0.46 (0.22, 0.98)</w:t>
            </w:r>
          </w:p>
        </w:tc>
        <w:tc>
          <w:tcPr>
            <w:tcW w:w="1757" w:type="dxa"/>
            <w:tcBorders>
              <w:top w:val="nil"/>
              <w:left w:val="nil"/>
              <w:bottom w:val="nil"/>
              <w:right w:val="single" w:sz="4" w:space="0" w:color="auto"/>
            </w:tcBorders>
            <w:shd w:val="clear" w:color="auto" w:fill="auto"/>
            <w:noWrap/>
            <w:vAlign w:val="bottom"/>
            <w:hideMark/>
          </w:tcPr>
          <w:p w14:paraId="54A189FA" w14:textId="77777777" w:rsidR="007E097D" w:rsidRDefault="007E097D">
            <w:pPr>
              <w:jc w:val="center"/>
              <w:rPr>
                <w:b/>
                <w:bCs/>
                <w:color w:val="000000"/>
              </w:rPr>
            </w:pPr>
            <w:r>
              <w:rPr>
                <w:b/>
                <w:bCs/>
                <w:color w:val="000000"/>
              </w:rPr>
              <w:t>0.04</w:t>
            </w:r>
          </w:p>
        </w:tc>
      </w:tr>
      <w:tr w:rsidR="007E097D" w14:paraId="3BBD49B2" w14:textId="77777777" w:rsidTr="00482372">
        <w:trPr>
          <w:trHeight w:val="316"/>
        </w:trPr>
        <w:tc>
          <w:tcPr>
            <w:tcW w:w="6357" w:type="dxa"/>
            <w:tcBorders>
              <w:top w:val="nil"/>
              <w:left w:val="single" w:sz="4" w:space="0" w:color="auto"/>
              <w:bottom w:val="nil"/>
              <w:right w:val="nil"/>
            </w:tcBorders>
            <w:shd w:val="clear" w:color="auto" w:fill="auto"/>
            <w:noWrap/>
            <w:vAlign w:val="bottom"/>
            <w:hideMark/>
          </w:tcPr>
          <w:p w14:paraId="5FC28C04" w14:textId="77777777" w:rsidR="007E097D" w:rsidRDefault="007E097D">
            <w:pPr>
              <w:ind w:firstLineChars="100" w:firstLine="220"/>
              <w:rPr>
                <w:color w:val="000000"/>
                <w:sz w:val="22"/>
                <w:szCs w:val="22"/>
              </w:rPr>
            </w:pPr>
            <w:r>
              <w:rPr>
                <w:color w:val="000000"/>
                <w:sz w:val="22"/>
                <w:szCs w:val="22"/>
              </w:rPr>
              <w:t>Pulmonologist group</w:t>
            </w:r>
          </w:p>
        </w:tc>
        <w:tc>
          <w:tcPr>
            <w:tcW w:w="2736" w:type="dxa"/>
            <w:tcBorders>
              <w:top w:val="nil"/>
              <w:left w:val="single" w:sz="4" w:space="0" w:color="auto"/>
              <w:bottom w:val="single" w:sz="4" w:space="0" w:color="auto"/>
              <w:right w:val="single" w:sz="4" w:space="0" w:color="auto"/>
            </w:tcBorders>
            <w:shd w:val="clear" w:color="auto" w:fill="auto"/>
            <w:noWrap/>
            <w:vAlign w:val="bottom"/>
            <w:hideMark/>
          </w:tcPr>
          <w:p w14:paraId="45824C98" w14:textId="77777777" w:rsidR="007E097D" w:rsidRDefault="007E097D">
            <w:pPr>
              <w:jc w:val="center"/>
              <w:rPr>
                <w:color w:val="000000"/>
                <w:sz w:val="22"/>
                <w:szCs w:val="22"/>
              </w:rPr>
            </w:pPr>
            <w:r>
              <w:rPr>
                <w:color w:val="000000"/>
                <w:sz w:val="22"/>
                <w:szCs w:val="22"/>
              </w:rPr>
              <w:t>1.88 (0.67, 5.27)</w:t>
            </w:r>
          </w:p>
        </w:tc>
        <w:tc>
          <w:tcPr>
            <w:tcW w:w="1757" w:type="dxa"/>
            <w:tcBorders>
              <w:top w:val="nil"/>
              <w:left w:val="nil"/>
              <w:bottom w:val="single" w:sz="4" w:space="0" w:color="auto"/>
              <w:right w:val="single" w:sz="4" w:space="0" w:color="auto"/>
            </w:tcBorders>
            <w:shd w:val="clear" w:color="auto" w:fill="auto"/>
            <w:noWrap/>
            <w:vAlign w:val="bottom"/>
            <w:hideMark/>
          </w:tcPr>
          <w:p w14:paraId="32C14693" w14:textId="77777777" w:rsidR="007E097D" w:rsidRDefault="007E097D">
            <w:pPr>
              <w:jc w:val="center"/>
              <w:rPr>
                <w:color w:val="000000"/>
              </w:rPr>
            </w:pPr>
            <w:r>
              <w:rPr>
                <w:color w:val="000000"/>
              </w:rPr>
              <w:t>0.23</w:t>
            </w:r>
          </w:p>
        </w:tc>
      </w:tr>
      <w:tr w:rsidR="007E097D" w14:paraId="7D05B128" w14:textId="77777777" w:rsidTr="00482372">
        <w:trPr>
          <w:trHeight w:val="316"/>
        </w:trPr>
        <w:tc>
          <w:tcPr>
            <w:tcW w:w="6357" w:type="dxa"/>
            <w:tcBorders>
              <w:top w:val="single" w:sz="4" w:space="0" w:color="auto"/>
              <w:left w:val="nil"/>
              <w:bottom w:val="nil"/>
              <w:right w:val="nil"/>
            </w:tcBorders>
            <w:shd w:val="clear" w:color="auto" w:fill="auto"/>
            <w:noWrap/>
            <w:vAlign w:val="bottom"/>
            <w:hideMark/>
          </w:tcPr>
          <w:p w14:paraId="67C118C3" w14:textId="77777777" w:rsidR="007E097D" w:rsidRDefault="007E097D">
            <w:pPr>
              <w:rPr>
                <w:color w:val="000000"/>
                <w:sz w:val="22"/>
                <w:szCs w:val="22"/>
              </w:rPr>
            </w:pPr>
            <w:r>
              <w:rPr>
                <w:color w:val="000000"/>
                <w:sz w:val="22"/>
                <w:szCs w:val="22"/>
              </w:rPr>
              <w:t>¥ Missing n=23.</w:t>
            </w:r>
          </w:p>
        </w:tc>
        <w:tc>
          <w:tcPr>
            <w:tcW w:w="2736" w:type="dxa"/>
            <w:tcBorders>
              <w:top w:val="nil"/>
              <w:left w:val="nil"/>
              <w:bottom w:val="nil"/>
              <w:right w:val="nil"/>
            </w:tcBorders>
            <w:shd w:val="clear" w:color="auto" w:fill="auto"/>
            <w:noWrap/>
            <w:vAlign w:val="bottom"/>
            <w:hideMark/>
          </w:tcPr>
          <w:p w14:paraId="75DFEEA4" w14:textId="77777777" w:rsidR="007E097D" w:rsidRDefault="007E097D">
            <w:pPr>
              <w:rPr>
                <w:color w:val="000000"/>
                <w:sz w:val="22"/>
                <w:szCs w:val="22"/>
              </w:rPr>
            </w:pPr>
          </w:p>
        </w:tc>
        <w:tc>
          <w:tcPr>
            <w:tcW w:w="1757" w:type="dxa"/>
            <w:tcBorders>
              <w:top w:val="nil"/>
              <w:left w:val="nil"/>
              <w:bottom w:val="nil"/>
              <w:right w:val="nil"/>
            </w:tcBorders>
            <w:shd w:val="clear" w:color="auto" w:fill="auto"/>
            <w:noWrap/>
            <w:vAlign w:val="bottom"/>
            <w:hideMark/>
          </w:tcPr>
          <w:p w14:paraId="2AD308CF" w14:textId="77777777" w:rsidR="007E097D" w:rsidRDefault="007E097D">
            <w:pPr>
              <w:rPr>
                <w:sz w:val="20"/>
                <w:szCs w:val="20"/>
              </w:rPr>
            </w:pPr>
          </w:p>
        </w:tc>
      </w:tr>
    </w:tbl>
    <w:p w14:paraId="5E6A4211" w14:textId="77777777" w:rsidR="007E097D" w:rsidRDefault="007E097D" w:rsidP="007C26CD">
      <w:pPr>
        <w:contextualSpacing/>
        <w:rPr>
          <w:rFonts w:eastAsia="Calibri"/>
        </w:rPr>
      </w:pPr>
    </w:p>
    <w:p w14:paraId="2D756DCE" w14:textId="77777777" w:rsidR="007E097D" w:rsidRPr="007C26CD" w:rsidRDefault="007E097D" w:rsidP="007C26CD">
      <w:pPr>
        <w:contextualSpacing/>
        <w:rPr>
          <w:rFonts w:eastAsia="Calibri"/>
        </w:rPr>
      </w:pPr>
    </w:p>
    <w:p w14:paraId="0D023355" w14:textId="77777777" w:rsidR="007E097D" w:rsidRDefault="007E097D" w:rsidP="00013E48">
      <w:pPr>
        <w:contextualSpacing/>
        <w:rPr>
          <w:rFonts w:eastAsia="Calibri"/>
          <w:b/>
          <w:bCs/>
        </w:rPr>
      </w:pPr>
    </w:p>
    <w:p w14:paraId="2877FFE6" w14:textId="77777777" w:rsidR="007E097D" w:rsidRDefault="007E097D" w:rsidP="00013E48">
      <w:pPr>
        <w:contextualSpacing/>
        <w:rPr>
          <w:rFonts w:eastAsia="Calibri"/>
          <w:b/>
          <w:bCs/>
        </w:rPr>
      </w:pPr>
      <w:r>
        <w:rPr>
          <w:rFonts w:eastAsia="Calibri"/>
          <w:b/>
          <w:bCs/>
        </w:rPr>
        <w:br w:type="page"/>
      </w:r>
    </w:p>
    <w:p w14:paraId="1EA0E0FD" w14:textId="77777777" w:rsidR="007E097D" w:rsidRDefault="007E097D" w:rsidP="00013E48">
      <w:pPr>
        <w:contextualSpacing/>
        <w:rPr>
          <w:rFonts w:eastAsia="Calibri"/>
          <w:b/>
          <w:bCs/>
        </w:rPr>
        <w:sectPr w:rsidR="007E097D" w:rsidSect="002D6D43">
          <w:pgSz w:w="12240" w:h="15840"/>
          <w:pgMar w:top="1440" w:right="1080" w:bottom="1440" w:left="1080" w:header="720" w:footer="720" w:gutter="0"/>
          <w:cols w:space="720"/>
          <w:docGrid w:linePitch="360"/>
        </w:sectPr>
      </w:pPr>
    </w:p>
    <w:p w14:paraId="1CE419DC" w14:textId="77777777" w:rsidR="007E097D" w:rsidRDefault="007E097D" w:rsidP="00013E48">
      <w:pPr>
        <w:contextualSpacing/>
        <w:rPr>
          <w:rFonts w:eastAsia="Calibri"/>
          <w:b/>
          <w:bCs/>
        </w:rPr>
      </w:pPr>
      <w:r>
        <w:rPr>
          <w:rFonts w:eastAsia="Calibri"/>
          <w:b/>
          <w:bCs/>
        </w:rPr>
        <w:lastRenderedPageBreak/>
        <w:t xml:space="preserve">Table 4. Multivariable </w:t>
      </w:r>
      <w:r w:rsidRPr="00D97291">
        <w:rPr>
          <w:rFonts w:eastAsia="Calibri"/>
          <w:b/>
          <w:bCs/>
        </w:rPr>
        <w:t>Cox Regression Analysis for Invasive Home Mechanical Ventilation</w:t>
      </w:r>
      <w:r>
        <w:rPr>
          <w:rFonts w:eastAsia="Calibri"/>
          <w:b/>
          <w:bCs/>
        </w:rPr>
        <w:t xml:space="preserve"> Duration</w:t>
      </w:r>
    </w:p>
    <w:p w14:paraId="75C0DF7D" w14:textId="77777777" w:rsidR="007E097D" w:rsidRDefault="007E097D" w:rsidP="00013E48">
      <w:pPr>
        <w:contextualSpacing/>
        <w:rPr>
          <w:rFonts w:eastAsia="Calibri"/>
          <w:b/>
          <w:bCs/>
        </w:rPr>
      </w:pPr>
    </w:p>
    <w:p w14:paraId="034AC50F" w14:textId="77777777" w:rsidR="007E097D" w:rsidRPr="00A60DB0" w:rsidRDefault="007E097D" w:rsidP="00A60DB0">
      <w:pPr>
        <w:contextualSpacing/>
        <w:rPr>
          <w:rFonts w:eastAsia="Calibri"/>
        </w:rPr>
      </w:pPr>
      <w:r w:rsidRPr="007C26CD">
        <w:rPr>
          <w:rFonts w:eastAsia="Calibri"/>
        </w:rPr>
        <w:t xml:space="preserve">Table shows </w:t>
      </w:r>
      <w:r>
        <w:rPr>
          <w:rFonts w:eastAsia="Calibri"/>
        </w:rPr>
        <w:t xml:space="preserve">multivariable </w:t>
      </w:r>
      <w:r w:rsidRPr="007C26CD">
        <w:rPr>
          <w:rFonts w:eastAsia="Calibri"/>
        </w:rPr>
        <w:t xml:space="preserve">hazard ratios comparing variables </w:t>
      </w:r>
      <w:r>
        <w:rPr>
          <w:rFonts w:eastAsia="Calibri"/>
        </w:rPr>
        <w:t xml:space="preserve">association </w:t>
      </w:r>
      <w:r w:rsidRPr="007C26CD">
        <w:rPr>
          <w:rFonts w:eastAsia="Calibri"/>
        </w:rPr>
        <w:t xml:space="preserve">with </w:t>
      </w:r>
      <w:r>
        <w:rPr>
          <w:rFonts w:eastAsia="Calibri"/>
        </w:rPr>
        <w:t>invasive home</w:t>
      </w:r>
      <w:r w:rsidRPr="007C26CD">
        <w:rPr>
          <w:rFonts w:eastAsia="Calibri"/>
        </w:rPr>
        <w:t xml:space="preserve"> mechanical ventilation</w:t>
      </w:r>
      <w:r>
        <w:rPr>
          <w:rFonts w:eastAsia="Calibri"/>
        </w:rPr>
        <w:t xml:space="preserve"> duration</w:t>
      </w:r>
      <w:r w:rsidRPr="00A60DB0">
        <w:rPr>
          <w:rFonts w:eastAsia="Calibri"/>
        </w:rPr>
        <w:t>.  95% confidence intervals show in parentheses.</w:t>
      </w:r>
      <w:r>
        <w:rPr>
          <w:rFonts w:eastAsia="Calibri"/>
        </w:rPr>
        <w:t xml:space="preserve"> P&lt;0.05 was considered significant. </w:t>
      </w:r>
    </w:p>
    <w:p w14:paraId="667693A8" w14:textId="77777777" w:rsidR="007E097D" w:rsidRDefault="007E097D" w:rsidP="00013E48">
      <w:pPr>
        <w:contextualSpacing/>
        <w:rPr>
          <w:rFonts w:eastAsia="Calibri"/>
          <w:b/>
          <w:bCs/>
        </w:rPr>
      </w:pPr>
    </w:p>
    <w:tbl>
      <w:tblPr>
        <w:tblW w:w="10440" w:type="dxa"/>
        <w:tblLook w:val="04A0" w:firstRow="1" w:lastRow="0" w:firstColumn="1" w:lastColumn="0" w:noHBand="0" w:noVBand="1"/>
      </w:tblPr>
      <w:tblGrid>
        <w:gridCol w:w="6700"/>
        <w:gridCol w:w="2160"/>
        <w:gridCol w:w="1580"/>
      </w:tblGrid>
      <w:tr w:rsidR="007E097D" w14:paraId="50B1C5D9" w14:textId="77777777" w:rsidTr="00FC53AD">
        <w:trPr>
          <w:trHeight w:val="320"/>
        </w:trPr>
        <w:tc>
          <w:tcPr>
            <w:tcW w:w="670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6E0B919C" w14:textId="77777777" w:rsidR="007E097D" w:rsidRDefault="007E097D">
            <w:pPr>
              <w:rPr>
                <w:b/>
                <w:bCs/>
                <w:color w:val="000000"/>
                <w:sz w:val="22"/>
                <w:szCs w:val="22"/>
              </w:rPr>
            </w:pPr>
            <w:r>
              <w:rPr>
                <w:b/>
                <w:bCs/>
                <w:color w:val="000000"/>
                <w:sz w:val="22"/>
                <w:szCs w:val="22"/>
              </w:rPr>
              <w:t>Patient-level factors</w:t>
            </w:r>
          </w:p>
        </w:tc>
        <w:tc>
          <w:tcPr>
            <w:tcW w:w="2160" w:type="dxa"/>
            <w:tcBorders>
              <w:top w:val="single" w:sz="4" w:space="0" w:color="auto"/>
              <w:left w:val="nil"/>
              <w:bottom w:val="single" w:sz="4" w:space="0" w:color="auto"/>
              <w:right w:val="single" w:sz="4" w:space="0" w:color="auto"/>
            </w:tcBorders>
            <w:shd w:val="clear" w:color="000000" w:fill="D9D9D9"/>
            <w:noWrap/>
            <w:vAlign w:val="bottom"/>
            <w:hideMark/>
          </w:tcPr>
          <w:p w14:paraId="4CDE0EFF" w14:textId="77777777" w:rsidR="007E097D" w:rsidRDefault="007E097D">
            <w:pPr>
              <w:jc w:val="center"/>
              <w:rPr>
                <w:b/>
                <w:bCs/>
                <w:color w:val="000000"/>
                <w:sz w:val="22"/>
                <w:szCs w:val="22"/>
              </w:rPr>
            </w:pPr>
            <w:r>
              <w:rPr>
                <w:b/>
                <w:bCs/>
                <w:color w:val="000000"/>
                <w:sz w:val="22"/>
                <w:szCs w:val="22"/>
              </w:rPr>
              <w:t>Survival HR</w:t>
            </w:r>
          </w:p>
        </w:tc>
        <w:tc>
          <w:tcPr>
            <w:tcW w:w="1580" w:type="dxa"/>
            <w:tcBorders>
              <w:top w:val="single" w:sz="4" w:space="0" w:color="auto"/>
              <w:left w:val="nil"/>
              <w:bottom w:val="single" w:sz="4" w:space="0" w:color="auto"/>
              <w:right w:val="single" w:sz="4" w:space="0" w:color="auto"/>
            </w:tcBorders>
            <w:shd w:val="clear" w:color="000000" w:fill="D9D9D9"/>
            <w:noWrap/>
            <w:vAlign w:val="bottom"/>
            <w:hideMark/>
          </w:tcPr>
          <w:p w14:paraId="7DF23A41" w14:textId="77777777" w:rsidR="007E097D" w:rsidRDefault="007E097D">
            <w:pPr>
              <w:jc w:val="center"/>
              <w:rPr>
                <w:b/>
                <w:bCs/>
                <w:color w:val="000000"/>
                <w:sz w:val="22"/>
                <w:szCs w:val="22"/>
              </w:rPr>
            </w:pPr>
            <w:r>
              <w:rPr>
                <w:b/>
                <w:bCs/>
                <w:color w:val="000000"/>
                <w:sz w:val="22"/>
                <w:szCs w:val="22"/>
              </w:rPr>
              <w:t>P-value</w:t>
            </w:r>
          </w:p>
        </w:tc>
      </w:tr>
      <w:tr w:rsidR="007E097D" w14:paraId="1BC4CBA9" w14:textId="77777777" w:rsidTr="00FC53AD">
        <w:trPr>
          <w:trHeight w:val="320"/>
        </w:trPr>
        <w:tc>
          <w:tcPr>
            <w:tcW w:w="6700" w:type="dxa"/>
            <w:tcBorders>
              <w:top w:val="nil"/>
              <w:left w:val="single" w:sz="4" w:space="0" w:color="auto"/>
              <w:bottom w:val="nil"/>
              <w:right w:val="nil"/>
            </w:tcBorders>
            <w:shd w:val="clear" w:color="auto" w:fill="auto"/>
            <w:noWrap/>
            <w:vAlign w:val="bottom"/>
            <w:hideMark/>
          </w:tcPr>
          <w:p w14:paraId="4F0007F2" w14:textId="77777777" w:rsidR="007E097D" w:rsidRDefault="007E097D">
            <w:pPr>
              <w:rPr>
                <w:b/>
                <w:bCs/>
                <w:color w:val="000000"/>
                <w:sz w:val="22"/>
                <w:szCs w:val="22"/>
              </w:rPr>
            </w:pPr>
            <w:r>
              <w:rPr>
                <w:b/>
                <w:bCs/>
                <w:color w:val="000000"/>
                <w:sz w:val="22"/>
                <w:szCs w:val="22"/>
              </w:rPr>
              <w:t>Patient Race Ethnicity</w:t>
            </w:r>
            <w:r>
              <w:rPr>
                <w:color w:val="000000"/>
                <w:sz w:val="22"/>
                <w:szCs w:val="22"/>
              </w:rPr>
              <w:t xml:space="preserve"> (compared to Non-Hispanic White)</w:t>
            </w:r>
          </w:p>
        </w:tc>
        <w:tc>
          <w:tcPr>
            <w:tcW w:w="2160" w:type="dxa"/>
            <w:tcBorders>
              <w:top w:val="nil"/>
              <w:left w:val="single" w:sz="4" w:space="0" w:color="auto"/>
              <w:bottom w:val="nil"/>
              <w:right w:val="single" w:sz="4" w:space="0" w:color="auto"/>
            </w:tcBorders>
            <w:shd w:val="clear" w:color="auto" w:fill="auto"/>
            <w:noWrap/>
            <w:hideMark/>
          </w:tcPr>
          <w:p w14:paraId="4F3DC141" w14:textId="77777777" w:rsidR="007E097D" w:rsidRDefault="007E097D">
            <w:pPr>
              <w:jc w:val="center"/>
              <w:rPr>
                <w:color w:val="000000"/>
                <w:sz w:val="22"/>
                <w:szCs w:val="22"/>
              </w:rPr>
            </w:pPr>
            <w:r>
              <w:rPr>
                <w:color w:val="000000"/>
                <w:sz w:val="22"/>
                <w:szCs w:val="22"/>
              </w:rPr>
              <w:t> </w:t>
            </w:r>
          </w:p>
        </w:tc>
        <w:tc>
          <w:tcPr>
            <w:tcW w:w="1580" w:type="dxa"/>
            <w:tcBorders>
              <w:top w:val="nil"/>
              <w:left w:val="nil"/>
              <w:bottom w:val="nil"/>
              <w:right w:val="single" w:sz="4" w:space="0" w:color="auto"/>
            </w:tcBorders>
            <w:shd w:val="clear" w:color="auto" w:fill="auto"/>
            <w:noWrap/>
            <w:hideMark/>
          </w:tcPr>
          <w:p w14:paraId="0F2BBB80" w14:textId="77777777" w:rsidR="007E097D" w:rsidRDefault="007E097D">
            <w:pPr>
              <w:jc w:val="center"/>
              <w:rPr>
                <w:color w:val="000000"/>
                <w:sz w:val="22"/>
                <w:szCs w:val="22"/>
              </w:rPr>
            </w:pPr>
            <w:r>
              <w:rPr>
                <w:color w:val="000000"/>
                <w:sz w:val="22"/>
                <w:szCs w:val="22"/>
              </w:rPr>
              <w:t> </w:t>
            </w:r>
          </w:p>
        </w:tc>
      </w:tr>
      <w:tr w:rsidR="007E097D" w14:paraId="31BBC59A" w14:textId="77777777" w:rsidTr="00FC53AD">
        <w:trPr>
          <w:trHeight w:val="320"/>
        </w:trPr>
        <w:tc>
          <w:tcPr>
            <w:tcW w:w="6700" w:type="dxa"/>
            <w:tcBorders>
              <w:top w:val="nil"/>
              <w:left w:val="single" w:sz="4" w:space="0" w:color="auto"/>
              <w:bottom w:val="nil"/>
              <w:right w:val="nil"/>
            </w:tcBorders>
            <w:shd w:val="clear" w:color="auto" w:fill="auto"/>
            <w:noWrap/>
            <w:vAlign w:val="bottom"/>
            <w:hideMark/>
          </w:tcPr>
          <w:p w14:paraId="67C5C1AC" w14:textId="77777777" w:rsidR="007E097D" w:rsidRDefault="007E097D">
            <w:pPr>
              <w:ind w:firstLineChars="100" w:firstLine="220"/>
              <w:rPr>
                <w:color w:val="000000"/>
                <w:sz w:val="22"/>
                <w:szCs w:val="22"/>
              </w:rPr>
            </w:pPr>
            <w:r>
              <w:rPr>
                <w:color w:val="000000"/>
                <w:sz w:val="22"/>
                <w:szCs w:val="22"/>
              </w:rPr>
              <w:t>Non-Hispanic Black</w:t>
            </w:r>
          </w:p>
        </w:tc>
        <w:tc>
          <w:tcPr>
            <w:tcW w:w="2160" w:type="dxa"/>
            <w:tcBorders>
              <w:top w:val="nil"/>
              <w:left w:val="single" w:sz="4" w:space="0" w:color="auto"/>
              <w:bottom w:val="nil"/>
              <w:right w:val="nil"/>
            </w:tcBorders>
            <w:shd w:val="clear" w:color="auto" w:fill="auto"/>
            <w:noWrap/>
            <w:vAlign w:val="bottom"/>
            <w:hideMark/>
          </w:tcPr>
          <w:p w14:paraId="28A3D4ED" w14:textId="77777777" w:rsidR="007E097D" w:rsidRDefault="007E097D">
            <w:pPr>
              <w:jc w:val="center"/>
              <w:rPr>
                <w:color w:val="000000"/>
                <w:sz w:val="22"/>
                <w:szCs w:val="22"/>
              </w:rPr>
            </w:pPr>
            <w:r>
              <w:rPr>
                <w:color w:val="000000"/>
                <w:sz w:val="22"/>
                <w:szCs w:val="22"/>
              </w:rPr>
              <w:t>0.49 (0.21, 1.13)</w:t>
            </w:r>
          </w:p>
        </w:tc>
        <w:tc>
          <w:tcPr>
            <w:tcW w:w="1580" w:type="dxa"/>
            <w:tcBorders>
              <w:top w:val="nil"/>
              <w:left w:val="single" w:sz="4" w:space="0" w:color="auto"/>
              <w:bottom w:val="nil"/>
              <w:right w:val="single" w:sz="4" w:space="0" w:color="auto"/>
            </w:tcBorders>
            <w:shd w:val="clear" w:color="auto" w:fill="auto"/>
            <w:noWrap/>
            <w:vAlign w:val="bottom"/>
            <w:hideMark/>
          </w:tcPr>
          <w:p w14:paraId="302C6216" w14:textId="77777777" w:rsidR="007E097D" w:rsidRDefault="007E097D">
            <w:pPr>
              <w:jc w:val="center"/>
              <w:rPr>
                <w:color w:val="000000"/>
                <w:sz w:val="22"/>
                <w:szCs w:val="22"/>
              </w:rPr>
            </w:pPr>
            <w:r>
              <w:rPr>
                <w:color w:val="000000"/>
                <w:sz w:val="22"/>
                <w:szCs w:val="22"/>
              </w:rPr>
              <w:t>0.09</w:t>
            </w:r>
          </w:p>
        </w:tc>
      </w:tr>
      <w:tr w:rsidR="007E097D" w14:paraId="204B6615" w14:textId="77777777" w:rsidTr="00FC53AD">
        <w:trPr>
          <w:trHeight w:val="320"/>
        </w:trPr>
        <w:tc>
          <w:tcPr>
            <w:tcW w:w="6700" w:type="dxa"/>
            <w:tcBorders>
              <w:top w:val="nil"/>
              <w:left w:val="single" w:sz="4" w:space="0" w:color="auto"/>
              <w:bottom w:val="nil"/>
              <w:right w:val="nil"/>
            </w:tcBorders>
            <w:shd w:val="clear" w:color="auto" w:fill="auto"/>
            <w:noWrap/>
            <w:vAlign w:val="bottom"/>
            <w:hideMark/>
          </w:tcPr>
          <w:p w14:paraId="0B987619" w14:textId="77777777" w:rsidR="007E097D" w:rsidRDefault="007E097D">
            <w:pPr>
              <w:ind w:firstLineChars="100" w:firstLine="220"/>
              <w:rPr>
                <w:color w:val="000000"/>
                <w:sz w:val="22"/>
                <w:szCs w:val="22"/>
              </w:rPr>
            </w:pPr>
            <w:r>
              <w:rPr>
                <w:color w:val="000000"/>
                <w:sz w:val="22"/>
                <w:szCs w:val="22"/>
              </w:rPr>
              <w:t>Hispanic/Latinx</w:t>
            </w:r>
          </w:p>
        </w:tc>
        <w:tc>
          <w:tcPr>
            <w:tcW w:w="2160" w:type="dxa"/>
            <w:tcBorders>
              <w:top w:val="nil"/>
              <w:left w:val="single" w:sz="4" w:space="0" w:color="auto"/>
              <w:bottom w:val="nil"/>
              <w:right w:val="nil"/>
            </w:tcBorders>
            <w:shd w:val="clear" w:color="auto" w:fill="auto"/>
            <w:noWrap/>
            <w:vAlign w:val="bottom"/>
            <w:hideMark/>
          </w:tcPr>
          <w:p w14:paraId="72F745B1" w14:textId="77777777" w:rsidR="007E097D" w:rsidRDefault="007E097D">
            <w:pPr>
              <w:jc w:val="center"/>
              <w:rPr>
                <w:b/>
                <w:bCs/>
                <w:color w:val="000000"/>
                <w:sz w:val="22"/>
                <w:szCs w:val="22"/>
              </w:rPr>
            </w:pPr>
            <w:r>
              <w:rPr>
                <w:b/>
                <w:bCs/>
                <w:color w:val="000000"/>
                <w:sz w:val="22"/>
                <w:szCs w:val="22"/>
              </w:rPr>
              <w:t>0.14 (0.04, 0.53)</w:t>
            </w:r>
          </w:p>
        </w:tc>
        <w:tc>
          <w:tcPr>
            <w:tcW w:w="1580" w:type="dxa"/>
            <w:tcBorders>
              <w:top w:val="nil"/>
              <w:left w:val="single" w:sz="4" w:space="0" w:color="auto"/>
              <w:bottom w:val="nil"/>
              <w:right w:val="single" w:sz="4" w:space="0" w:color="auto"/>
            </w:tcBorders>
            <w:shd w:val="clear" w:color="auto" w:fill="auto"/>
            <w:noWrap/>
            <w:vAlign w:val="bottom"/>
            <w:hideMark/>
          </w:tcPr>
          <w:p w14:paraId="13398260" w14:textId="77777777" w:rsidR="007E097D" w:rsidRDefault="007E097D">
            <w:pPr>
              <w:jc w:val="center"/>
              <w:rPr>
                <w:b/>
                <w:bCs/>
                <w:color w:val="000000"/>
                <w:sz w:val="22"/>
                <w:szCs w:val="22"/>
              </w:rPr>
            </w:pPr>
            <w:r>
              <w:rPr>
                <w:b/>
                <w:bCs/>
                <w:color w:val="000000"/>
                <w:sz w:val="22"/>
                <w:szCs w:val="22"/>
              </w:rPr>
              <w:t>&lt;0.01</w:t>
            </w:r>
          </w:p>
        </w:tc>
      </w:tr>
      <w:tr w:rsidR="007E097D" w14:paraId="75991754" w14:textId="77777777" w:rsidTr="00FC53AD">
        <w:trPr>
          <w:trHeight w:val="320"/>
        </w:trPr>
        <w:tc>
          <w:tcPr>
            <w:tcW w:w="6700" w:type="dxa"/>
            <w:tcBorders>
              <w:top w:val="nil"/>
              <w:left w:val="single" w:sz="4" w:space="0" w:color="auto"/>
              <w:bottom w:val="nil"/>
              <w:right w:val="nil"/>
            </w:tcBorders>
            <w:shd w:val="clear" w:color="auto" w:fill="auto"/>
            <w:noWrap/>
            <w:vAlign w:val="bottom"/>
            <w:hideMark/>
          </w:tcPr>
          <w:p w14:paraId="0797F8DE" w14:textId="77777777" w:rsidR="007E097D" w:rsidRDefault="007E097D">
            <w:pPr>
              <w:ind w:firstLineChars="100" w:firstLine="220"/>
              <w:rPr>
                <w:color w:val="000000"/>
                <w:sz w:val="22"/>
                <w:szCs w:val="22"/>
              </w:rPr>
            </w:pPr>
            <w:r>
              <w:rPr>
                <w:color w:val="000000"/>
                <w:sz w:val="22"/>
                <w:szCs w:val="22"/>
              </w:rPr>
              <w:t>Asian</w:t>
            </w:r>
          </w:p>
        </w:tc>
        <w:tc>
          <w:tcPr>
            <w:tcW w:w="2160" w:type="dxa"/>
            <w:tcBorders>
              <w:top w:val="nil"/>
              <w:left w:val="single" w:sz="4" w:space="0" w:color="auto"/>
              <w:bottom w:val="nil"/>
              <w:right w:val="nil"/>
            </w:tcBorders>
            <w:shd w:val="clear" w:color="auto" w:fill="auto"/>
            <w:noWrap/>
            <w:vAlign w:val="bottom"/>
            <w:hideMark/>
          </w:tcPr>
          <w:p w14:paraId="6C3309D4" w14:textId="77777777" w:rsidR="007E097D" w:rsidRDefault="007E097D">
            <w:pPr>
              <w:jc w:val="center"/>
              <w:rPr>
                <w:color w:val="000000"/>
                <w:sz w:val="22"/>
                <w:szCs w:val="22"/>
              </w:rPr>
            </w:pPr>
            <w:r>
              <w:rPr>
                <w:color w:val="000000"/>
                <w:sz w:val="22"/>
                <w:szCs w:val="22"/>
              </w:rPr>
              <w:t>0.55 (0.12, 2.57)</w:t>
            </w:r>
          </w:p>
        </w:tc>
        <w:tc>
          <w:tcPr>
            <w:tcW w:w="1580" w:type="dxa"/>
            <w:tcBorders>
              <w:top w:val="nil"/>
              <w:left w:val="single" w:sz="4" w:space="0" w:color="auto"/>
              <w:bottom w:val="nil"/>
              <w:right w:val="single" w:sz="4" w:space="0" w:color="auto"/>
            </w:tcBorders>
            <w:shd w:val="clear" w:color="auto" w:fill="auto"/>
            <w:noWrap/>
            <w:vAlign w:val="bottom"/>
            <w:hideMark/>
          </w:tcPr>
          <w:p w14:paraId="7D0CF828" w14:textId="77777777" w:rsidR="007E097D" w:rsidRDefault="007E097D">
            <w:pPr>
              <w:jc w:val="center"/>
              <w:rPr>
                <w:color w:val="000000"/>
                <w:sz w:val="22"/>
                <w:szCs w:val="22"/>
              </w:rPr>
            </w:pPr>
            <w:r>
              <w:rPr>
                <w:color w:val="000000"/>
                <w:sz w:val="22"/>
                <w:szCs w:val="22"/>
              </w:rPr>
              <w:t>0.4443</w:t>
            </w:r>
          </w:p>
        </w:tc>
      </w:tr>
      <w:tr w:rsidR="007E097D" w14:paraId="368EF73A" w14:textId="77777777" w:rsidTr="00FC53AD">
        <w:trPr>
          <w:trHeight w:val="320"/>
        </w:trPr>
        <w:tc>
          <w:tcPr>
            <w:tcW w:w="6700" w:type="dxa"/>
            <w:tcBorders>
              <w:top w:val="nil"/>
              <w:left w:val="single" w:sz="4" w:space="0" w:color="auto"/>
              <w:bottom w:val="nil"/>
              <w:right w:val="nil"/>
            </w:tcBorders>
            <w:shd w:val="clear" w:color="auto" w:fill="auto"/>
            <w:noWrap/>
            <w:vAlign w:val="bottom"/>
            <w:hideMark/>
          </w:tcPr>
          <w:p w14:paraId="0D20FB03" w14:textId="77777777" w:rsidR="007E097D" w:rsidRDefault="007E097D">
            <w:pPr>
              <w:ind w:firstLineChars="100" w:firstLine="220"/>
              <w:rPr>
                <w:color w:val="000000"/>
                <w:sz w:val="22"/>
                <w:szCs w:val="22"/>
              </w:rPr>
            </w:pPr>
            <w:r>
              <w:rPr>
                <w:color w:val="000000"/>
                <w:sz w:val="22"/>
                <w:szCs w:val="22"/>
              </w:rPr>
              <w:t xml:space="preserve">Mixed, </w:t>
            </w:r>
            <w:proofErr w:type="gramStart"/>
            <w:r>
              <w:rPr>
                <w:color w:val="000000"/>
                <w:sz w:val="22"/>
                <w:szCs w:val="22"/>
              </w:rPr>
              <w:t>other</w:t>
            </w:r>
            <w:proofErr w:type="gramEnd"/>
            <w:r>
              <w:rPr>
                <w:color w:val="000000"/>
                <w:sz w:val="22"/>
                <w:szCs w:val="22"/>
              </w:rPr>
              <w:t xml:space="preserve"> or unknown</w:t>
            </w:r>
          </w:p>
        </w:tc>
        <w:tc>
          <w:tcPr>
            <w:tcW w:w="2160" w:type="dxa"/>
            <w:tcBorders>
              <w:top w:val="nil"/>
              <w:left w:val="single" w:sz="4" w:space="0" w:color="auto"/>
              <w:bottom w:val="single" w:sz="4" w:space="0" w:color="auto"/>
              <w:right w:val="nil"/>
            </w:tcBorders>
            <w:shd w:val="clear" w:color="auto" w:fill="auto"/>
            <w:noWrap/>
            <w:vAlign w:val="bottom"/>
            <w:hideMark/>
          </w:tcPr>
          <w:p w14:paraId="454A618E" w14:textId="77777777" w:rsidR="007E097D" w:rsidRDefault="007E097D">
            <w:pPr>
              <w:jc w:val="center"/>
              <w:rPr>
                <w:color w:val="000000"/>
                <w:sz w:val="22"/>
                <w:szCs w:val="22"/>
              </w:rPr>
            </w:pPr>
            <w:r>
              <w:rPr>
                <w:color w:val="000000"/>
                <w:sz w:val="22"/>
                <w:szCs w:val="22"/>
              </w:rPr>
              <w:t>0.37 (0.14, 1.01)</w:t>
            </w:r>
          </w:p>
        </w:tc>
        <w:tc>
          <w:tcPr>
            <w:tcW w:w="1580" w:type="dxa"/>
            <w:tcBorders>
              <w:top w:val="nil"/>
              <w:left w:val="single" w:sz="4" w:space="0" w:color="auto"/>
              <w:bottom w:val="single" w:sz="4" w:space="0" w:color="auto"/>
              <w:right w:val="single" w:sz="4" w:space="0" w:color="auto"/>
            </w:tcBorders>
            <w:shd w:val="clear" w:color="auto" w:fill="auto"/>
            <w:noWrap/>
            <w:vAlign w:val="bottom"/>
            <w:hideMark/>
          </w:tcPr>
          <w:p w14:paraId="518D58A8" w14:textId="77777777" w:rsidR="007E097D" w:rsidRDefault="007E097D">
            <w:pPr>
              <w:jc w:val="center"/>
              <w:rPr>
                <w:color w:val="000000"/>
                <w:sz w:val="22"/>
                <w:szCs w:val="22"/>
              </w:rPr>
            </w:pPr>
            <w:r>
              <w:rPr>
                <w:color w:val="000000"/>
                <w:sz w:val="22"/>
                <w:szCs w:val="22"/>
              </w:rPr>
              <w:t>0.05</w:t>
            </w:r>
          </w:p>
        </w:tc>
      </w:tr>
      <w:tr w:rsidR="007E097D" w14:paraId="42E84C1E" w14:textId="77777777" w:rsidTr="00FC53AD">
        <w:trPr>
          <w:trHeight w:val="320"/>
        </w:trPr>
        <w:tc>
          <w:tcPr>
            <w:tcW w:w="6700" w:type="dxa"/>
            <w:tcBorders>
              <w:top w:val="single" w:sz="4" w:space="0" w:color="auto"/>
              <w:left w:val="single" w:sz="4" w:space="0" w:color="auto"/>
              <w:bottom w:val="nil"/>
              <w:right w:val="nil"/>
            </w:tcBorders>
            <w:shd w:val="clear" w:color="auto" w:fill="auto"/>
            <w:noWrap/>
            <w:vAlign w:val="bottom"/>
            <w:hideMark/>
          </w:tcPr>
          <w:p w14:paraId="25AF4FE0" w14:textId="77777777" w:rsidR="007E097D" w:rsidRDefault="007E097D">
            <w:pPr>
              <w:rPr>
                <w:b/>
                <w:bCs/>
                <w:color w:val="000000"/>
                <w:sz w:val="22"/>
                <w:szCs w:val="22"/>
              </w:rPr>
            </w:pPr>
            <w:r>
              <w:rPr>
                <w:b/>
                <w:bCs/>
                <w:color w:val="000000"/>
                <w:sz w:val="22"/>
                <w:szCs w:val="22"/>
              </w:rPr>
              <w:t xml:space="preserve">Comorbidities </w:t>
            </w:r>
            <w:r>
              <w:rPr>
                <w:color w:val="000000"/>
                <w:sz w:val="22"/>
                <w:szCs w:val="22"/>
              </w:rPr>
              <w:t>(absent compared to present)</w:t>
            </w:r>
          </w:p>
        </w:tc>
        <w:tc>
          <w:tcPr>
            <w:tcW w:w="2160" w:type="dxa"/>
            <w:tcBorders>
              <w:top w:val="nil"/>
              <w:left w:val="single" w:sz="4" w:space="0" w:color="auto"/>
              <w:bottom w:val="nil"/>
              <w:right w:val="single" w:sz="4" w:space="0" w:color="auto"/>
            </w:tcBorders>
            <w:shd w:val="clear" w:color="auto" w:fill="auto"/>
            <w:noWrap/>
            <w:vAlign w:val="bottom"/>
            <w:hideMark/>
          </w:tcPr>
          <w:p w14:paraId="51981C1E" w14:textId="77777777" w:rsidR="007E097D" w:rsidRDefault="007E097D">
            <w:pPr>
              <w:jc w:val="center"/>
              <w:rPr>
                <w:color w:val="000000"/>
                <w:sz w:val="22"/>
                <w:szCs w:val="22"/>
              </w:rPr>
            </w:pPr>
            <w:r>
              <w:rPr>
                <w:color w:val="000000"/>
                <w:sz w:val="22"/>
                <w:szCs w:val="22"/>
              </w:rPr>
              <w:t> </w:t>
            </w:r>
          </w:p>
        </w:tc>
        <w:tc>
          <w:tcPr>
            <w:tcW w:w="1580" w:type="dxa"/>
            <w:tcBorders>
              <w:top w:val="nil"/>
              <w:left w:val="nil"/>
              <w:bottom w:val="nil"/>
              <w:right w:val="single" w:sz="4" w:space="0" w:color="auto"/>
            </w:tcBorders>
            <w:shd w:val="clear" w:color="auto" w:fill="auto"/>
            <w:noWrap/>
            <w:vAlign w:val="bottom"/>
            <w:hideMark/>
          </w:tcPr>
          <w:p w14:paraId="537B7946" w14:textId="77777777" w:rsidR="007E097D" w:rsidRDefault="007E097D">
            <w:pPr>
              <w:jc w:val="center"/>
              <w:rPr>
                <w:color w:val="000000"/>
                <w:sz w:val="22"/>
                <w:szCs w:val="22"/>
              </w:rPr>
            </w:pPr>
            <w:r>
              <w:rPr>
                <w:color w:val="000000"/>
                <w:sz w:val="22"/>
                <w:szCs w:val="22"/>
              </w:rPr>
              <w:t> </w:t>
            </w:r>
          </w:p>
        </w:tc>
      </w:tr>
      <w:tr w:rsidR="007E097D" w14:paraId="4C88A74B" w14:textId="77777777" w:rsidTr="00FC53AD">
        <w:trPr>
          <w:trHeight w:val="320"/>
        </w:trPr>
        <w:tc>
          <w:tcPr>
            <w:tcW w:w="6700" w:type="dxa"/>
            <w:tcBorders>
              <w:top w:val="nil"/>
              <w:left w:val="single" w:sz="4" w:space="0" w:color="auto"/>
              <w:bottom w:val="nil"/>
              <w:right w:val="nil"/>
            </w:tcBorders>
            <w:shd w:val="clear" w:color="auto" w:fill="auto"/>
            <w:noWrap/>
            <w:vAlign w:val="bottom"/>
            <w:hideMark/>
          </w:tcPr>
          <w:p w14:paraId="64BD04FF" w14:textId="77777777" w:rsidR="007E097D" w:rsidRDefault="007E097D">
            <w:pPr>
              <w:ind w:firstLineChars="100" w:firstLine="220"/>
              <w:rPr>
                <w:color w:val="000000"/>
                <w:sz w:val="22"/>
                <w:szCs w:val="22"/>
              </w:rPr>
            </w:pPr>
            <w:r>
              <w:rPr>
                <w:color w:val="000000"/>
                <w:sz w:val="22"/>
                <w:szCs w:val="22"/>
              </w:rPr>
              <w:t xml:space="preserve">High-intensive neurologic impairment </w:t>
            </w:r>
          </w:p>
        </w:tc>
        <w:tc>
          <w:tcPr>
            <w:tcW w:w="2160" w:type="dxa"/>
            <w:tcBorders>
              <w:top w:val="nil"/>
              <w:left w:val="single" w:sz="4" w:space="0" w:color="auto"/>
              <w:bottom w:val="nil"/>
              <w:right w:val="single" w:sz="4" w:space="0" w:color="auto"/>
            </w:tcBorders>
            <w:shd w:val="clear" w:color="auto" w:fill="auto"/>
            <w:noWrap/>
            <w:vAlign w:val="bottom"/>
            <w:hideMark/>
          </w:tcPr>
          <w:p w14:paraId="42758C45" w14:textId="77777777" w:rsidR="007E097D" w:rsidRDefault="007E097D">
            <w:pPr>
              <w:jc w:val="center"/>
              <w:rPr>
                <w:color w:val="000000"/>
                <w:sz w:val="22"/>
                <w:szCs w:val="22"/>
              </w:rPr>
            </w:pPr>
            <w:r>
              <w:rPr>
                <w:color w:val="000000"/>
                <w:sz w:val="22"/>
                <w:szCs w:val="22"/>
              </w:rPr>
              <w:t>0.67 (0.26, 1.74)</w:t>
            </w:r>
          </w:p>
        </w:tc>
        <w:tc>
          <w:tcPr>
            <w:tcW w:w="1580" w:type="dxa"/>
            <w:tcBorders>
              <w:top w:val="nil"/>
              <w:left w:val="nil"/>
              <w:bottom w:val="single" w:sz="4" w:space="0" w:color="auto"/>
              <w:right w:val="single" w:sz="4" w:space="0" w:color="auto"/>
            </w:tcBorders>
            <w:shd w:val="clear" w:color="auto" w:fill="auto"/>
            <w:noWrap/>
            <w:vAlign w:val="bottom"/>
            <w:hideMark/>
          </w:tcPr>
          <w:p w14:paraId="3293008B" w14:textId="77777777" w:rsidR="007E097D" w:rsidRDefault="007E097D">
            <w:pPr>
              <w:jc w:val="center"/>
              <w:rPr>
                <w:color w:val="000000"/>
                <w:sz w:val="22"/>
                <w:szCs w:val="22"/>
              </w:rPr>
            </w:pPr>
            <w:r>
              <w:rPr>
                <w:color w:val="000000"/>
                <w:sz w:val="22"/>
                <w:szCs w:val="22"/>
              </w:rPr>
              <w:t>0.41</w:t>
            </w:r>
          </w:p>
        </w:tc>
      </w:tr>
      <w:tr w:rsidR="007E097D" w14:paraId="30C02839" w14:textId="77777777" w:rsidTr="00FC53AD">
        <w:trPr>
          <w:trHeight w:val="320"/>
        </w:trPr>
        <w:tc>
          <w:tcPr>
            <w:tcW w:w="6700" w:type="dxa"/>
            <w:tcBorders>
              <w:top w:val="single" w:sz="4" w:space="0" w:color="auto"/>
              <w:left w:val="single" w:sz="4" w:space="0" w:color="auto"/>
              <w:bottom w:val="nil"/>
              <w:right w:val="nil"/>
            </w:tcBorders>
            <w:shd w:val="clear" w:color="auto" w:fill="auto"/>
            <w:noWrap/>
            <w:vAlign w:val="bottom"/>
            <w:hideMark/>
          </w:tcPr>
          <w:p w14:paraId="3186B712" w14:textId="77777777" w:rsidR="007E097D" w:rsidRDefault="007E097D">
            <w:pPr>
              <w:rPr>
                <w:b/>
                <w:bCs/>
                <w:color w:val="000000"/>
                <w:sz w:val="22"/>
                <w:szCs w:val="22"/>
              </w:rPr>
            </w:pPr>
            <w:r>
              <w:rPr>
                <w:b/>
                <w:bCs/>
                <w:color w:val="000000"/>
                <w:sz w:val="22"/>
                <w:szCs w:val="22"/>
              </w:rPr>
              <w:t>Index Hospitalization Information</w:t>
            </w:r>
          </w:p>
        </w:tc>
        <w:tc>
          <w:tcPr>
            <w:tcW w:w="2160" w:type="dxa"/>
            <w:tcBorders>
              <w:top w:val="single" w:sz="4" w:space="0" w:color="auto"/>
              <w:left w:val="single" w:sz="4" w:space="0" w:color="auto"/>
              <w:bottom w:val="nil"/>
              <w:right w:val="single" w:sz="4" w:space="0" w:color="auto"/>
            </w:tcBorders>
            <w:shd w:val="clear" w:color="auto" w:fill="auto"/>
            <w:noWrap/>
            <w:vAlign w:val="bottom"/>
            <w:hideMark/>
          </w:tcPr>
          <w:p w14:paraId="182A0AAD" w14:textId="77777777" w:rsidR="007E097D" w:rsidRDefault="007E097D">
            <w:pPr>
              <w:jc w:val="center"/>
              <w:rPr>
                <w:color w:val="000000"/>
                <w:sz w:val="22"/>
                <w:szCs w:val="22"/>
              </w:rPr>
            </w:pPr>
            <w:r>
              <w:rPr>
                <w:color w:val="000000"/>
                <w:sz w:val="22"/>
                <w:szCs w:val="22"/>
              </w:rPr>
              <w:t> </w:t>
            </w:r>
          </w:p>
        </w:tc>
        <w:tc>
          <w:tcPr>
            <w:tcW w:w="1580" w:type="dxa"/>
            <w:tcBorders>
              <w:top w:val="nil"/>
              <w:left w:val="nil"/>
              <w:bottom w:val="nil"/>
              <w:right w:val="single" w:sz="4" w:space="0" w:color="auto"/>
            </w:tcBorders>
            <w:shd w:val="clear" w:color="auto" w:fill="auto"/>
            <w:noWrap/>
            <w:vAlign w:val="bottom"/>
            <w:hideMark/>
          </w:tcPr>
          <w:p w14:paraId="1FE86039" w14:textId="77777777" w:rsidR="007E097D" w:rsidRDefault="007E097D">
            <w:pPr>
              <w:jc w:val="center"/>
              <w:rPr>
                <w:rFonts w:ascii="Times Roman" w:hAnsi="Times Roman" w:cs="Calibri"/>
                <w:color w:val="000000"/>
                <w:sz w:val="22"/>
                <w:szCs w:val="22"/>
              </w:rPr>
            </w:pPr>
            <w:r>
              <w:rPr>
                <w:rFonts w:ascii="Times Roman" w:hAnsi="Times Roman" w:cs="Calibri"/>
                <w:color w:val="000000"/>
                <w:sz w:val="22"/>
                <w:szCs w:val="22"/>
              </w:rPr>
              <w:t> </w:t>
            </w:r>
          </w:p>
        </w:tc>
      </w:tr>
      <w:tr w:rsidR="007E097D" w14:paraId="76E29783" w14:textId="77777777" w:rsidTr="00FC53AD">
        <w:trPr>
          <w:trHeight w:val="320"/>
        </w:trPr>
        <w:tc>
          <w:tcPr>
            <w:tcW w:w="6700" w:type="dxa"/>
            <w:tcBorders>
              <w:top w:val="nil"/>
              <w:left w:val="single" w:sz="4" w:space="0" w:color="auto"/>
              <w:bottom w:val="nil"/>
              <w:right w:val="nil"/>
            </w:tcBorders>
            <w:shd w:val="clear" w:color="auto" w:fill="auto"/>
            <w:noWrap/>
            <w:vAlign w:val="bottom"/>
            <w:hideMark/>
          </w:tcPr>
          <w:p w14:paraId="56D3F16A" w14:textId="77777777" w:rsidR="007E097D" w:rsidRDefault="007E097D">
            <w:pPr>
              <w:ind w:firstLineChars="100" w:firstLine="220"/>
              <w:rPr>
                <w:color w:val="000000"/>
                <w:sz w:val="22"/>
                <w:szCs w:val="22"/>
              </w:rPr>
            </w:pPr>
            <w:r>
              <w:rPr>
                <w:color w:val="000000"/>
                <w:sz w:val="22"/>
                <w:szCs w:val="22"/>
              </w:rPr>
              <w:t>Corrected tracheostomy age (standardized)</w:t>
            </w:r>
          </w:p>
        </w:tc>
        <w:tc>
          <w:tcPr>
            <w:tcW w:w="2160" w:type="dxa"/>
            <w:tcBorders>
              <w:top w:val="nil"/>
              <w:left w:val="single" w:sz="4" w:space="0" w:color="auto"/>
              <w:bottom w:val="nil"/>
              <w:right w:val="single" w:sz="4" w:space="0" w:color="auto"/>
            </w:tcBorders>
            <w:shd w:val="clear" w:color="auto" w:fill="auto"/>
            <w:noWrap/>
            <w:hideMark/>
          </w:tcPr>
          <w:p w14:paraId="1BE16021" w14:textId="77777777" w:rsidR="007E097D" w:rsidRDefault="007E097D">
            <w:pPr>
              <w:jc w:val="center"/>
              <w:rPr>
                <w:b/>
                <w:bCs/>
                <w:color w:val="000000"/>
                <w:sz w:val="22"/>
                <w:szCs w:val="22"/>
              </w:rPr>
            </w:pPr>
            <w:r>
              <w:rPr>
                <w:b/>
                <w:bCs/>
                <w:color w:val="000000"/>
                <w:sz w:val="22"/>
                <w:szCs w:val="22"/>
              </w:rPr>
              <w:t>0.66 (0.43, 0.98)</w:t>
            </w:r>
          </w:p>
        </w:tc>
        <w:tc>
          <w:tcPr>
            <w:tcW w:w="1580" w:type="dxa"/>
            <w:tcBorders>
              <w:top w:val="nil"/>
              <w:left w:val="nil"/>
              <w:bottom w:val="nil"/>
              <w:right w:val="single" w:sz="4" w:space="0" w:color="auto"/>
            </w:tcBorders>
            <w:shd w:val="clear" w:color="auto" w:fill="auto"/>
            <w:noWrap/>
            <w:vAlign w:val="bottom"/>
            <w:hideMark/>
          </w:tcPr>
          <w:p w14:paraId="303185B1" w14:textId="77777777" w:rsidR="007E097D" w:rsidRDefault="007E097D">
            <w:pPr>
              <w:jc w:val="center"/>
              <w:rPr>
                <w:b/>
                <w:bCs/>
                <w:color w:val="000000"/>
                <w:sz w:val="22"/>
                <w:szCs w:val="22"/>
              </w:rPr>
            </w:pPr>
            <w:r>
              <w:rPr>
                <w:b/>
                <w:bCs/>
                <w:color w:val="000000"/>
                <w:sz w:val="22"/>
                <w:szCs w:val="22"/>
              </w:rPr>
              <w:t>&lt;0.05</w:t>
            </w:r>
          </w:p>
        </w:tc>
      </w:tr>
      <w:tr w:rsidR="007E097D" w14:paraId="204F90C4" w14:textId="77777777" w:rsidTr="00FC53AD">
        <w:trPr>
          <w:trHeight w:val="320"/>
        </w:trPr>
        <w:tc>
          <w:tcPr>
            <w:tcW w:w="6700" w:type="dxa"/>
            <w:tcBorders>
              <w:top w:val="nil"/>
              <w:left w:val="single" w:sz="4" w:space="0" w:color="auto"/>
              <w:bottom w:val="single" w:sz="4" w:space="0" w:color="auto"/>
              <w:right w:val="nil"/>
            </w:tcBorders>
            <w:shd w:val="clear" w:color="auto" w:fill="auto"/>
            <w:noWrap/>
            <w:vAlign w:val="bottom"/>
            <w:hideMark/>
          </w:tcPr>
          <w:p w14:paraId="6DDB6FFA" w14:textId="77777777" w:rsidR="007E097D" w:rsidRDefault="007E097D">
            <w:pPr>
              <w:ind w:firstLineChars="100" w:firstLine="220"/>
              <w:rPr>
                <w:color w:val="000000"/>
                <w:sz w:val="22"/>
                <w:szCs w:val="22"/>
              </w:rPr>
            </w:pPr>
            <w:r>
              <w:rPr>
                <w:color w:val="000000"/>
                <w:sz w:val="22"/>
                <w:szCs w:val="22"/>
              </w:rPr>
              <w:t>Level of ventilatory support at discharge (standardized)</w:t>
            </w:r>
          </w:p>
        </w:tc>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1663BF89" w14:textId="77777777" w:rsidR="007E097D" w:rsidRDefault="007E097D">
            <w:pPr>
              <w:jc w:val="center"/>
              <w:rPr>
                <w:color w:val="000000"/>
                <w:sz w:val="22"/>
                <w:szCs w:val="22"/>
              </w:rPr>
            </w:pPr>
            <w:r>
              <w:rPr>
                <w:color w:val="000000"/>
                <w:sz w:val="22"/>
                <w:szCs w:val="22"/>
              </w:rPr>
              <w:t>0.72 (0.49, 1.07)</w:t>
            </w:r>
          </w:p>
        </w:tc>
        <w:tc>
          <w:tcPr>
            <w:tcW w:w="1580" w:type="dxa"/>
            <w:tcBorders>
              <w:top w:val="nil"/>
              <w:left w:val="nil"/>
              <w:bottom w:val="single" w:sz="4" w:space="0" w:color="auto"/>
              <w:right w:val="single" w:sz="4" w:space="0" w:color="auto"/>
            </w:tcBorders>
            <w:shd w:val="clear" w:color="auto" w:fill="auto"/>
            <w:noWrap/>
            <w:vAlign w:val="bottom"/>
            <w:hideMark/>
          </w:tcPr>
          <w:p w14:paraId="0BB7AC09" w14:textId="77777777" w:rsidR="007E097D" w:rsidRDefault="007E097D">
            <w:pPr>
              <w:jc w:val="center"/>
              <w:rPr>
                <w:rFonts w:ascii="Times Roman" w:hAnsi="Times Roman" w:cs="Calibri"/>
                <w:color w:val="000000"/>
                <w:sz w:val="22"/>
                <w:szCs w:val="22"/>
              </w:rPr>
            </w:pPr>
            <w:r>
              <w:rPr>
                <w:rFonts w:ascii="Times Roman" w:hAnsi="Times Roman" w:cs="Calibri"/>
                <w:color w:val="000000"/>
                <w:sz w:val="22"/>
                <w:szCs w:val="22"/>
              </w:rPr>
              <w:t>0.11</w:t>
            </w:r>
          </w:p>
        </w:tc>
      </w:tr>
      <w:tr w:rsidR="007E097D" w14:paraId="25E1D01E" w14:textId="77777777" w:rsidTr="00FC53AD">
        <w:trPr>
          <w:trHeight w:val="320"/>
        </w:trPr>
        <w:tc>
          <w:tcPr>
            <w:tcW w:w="6700" w:type="dxa"/>
            <w:tcBorders>
              <w:top w:val="nil"/>
              <w:left w:val="single" w:sz="4" w:space="0" w:color="auto"/>
              <w:bottom w:val="nil"/>
              <w:right w:val="nil"/>
            </w:tcBorders>
            <w:shd w:val="clear" w:color="auto" w:fill="auto"/>
            <w:noWrap/>
            <w:vAlign w:val="bottom"/>
            <w:hideMark/>
          </w:tcPr>
          <w:p w14:paraId="27716B39" w14:textId="77777777" w:rsidR="007E097D" w:rsidRDefault="007E097D">
            <w:pPr>
              <w:rPr>
                <w:b/>
                <w:bCs/>
                <w:color w:val="000000"/>
                <w:sz w:val="22"/>
                <w:szCs w:val="22"/>
              </w:rPr>
            </w:pPr>
            <w:r>
              <w:rPr>
                <w:b/>
                <w:bCs/>
                <w:color w:val="000000"/>
                <w:sz w:val="22"/>
                <w:szCs w:val="22"/>
              </w:rPr>
              <w:t xml:space="preserve">Outpatient Primary Pulmonologist </w:t>
            </w:r>
            <w:r>
              <w:rPr>
                <w:color w:val="000000"/>
                <w:sz w:val="22"/>
                <w:szCs w:val="22"/>
              </w:rPr>
              <w:t>(compared to Pulmonologist A)</w:t>
            </w:r>
          </w:p>
        </w:tc>
        <w:tc>
          <w:tcPr>
            <w:tcW w:w="2160" w:type="dxa"/>
            <w:tcBorders>
              <w:top w:val="nil"/>
              <w:left w:val="single" w:sz="4" w:space="0" w:color="auto"/>
              <w:bottom w:val="nil"/>
              <w:right w:val="single" w:sz="4" w:space="0" w:color="auto"/>
            </w:tcBorders>
            <w:shd w:val="clear" w:color="auto" w:fill="auto"/>
            <w:noWrap/>
            <w:vAlign w:val="bottom"/>
            <w:hideMark/>
          </w:tcPr>
          <w:p w14:paraId="452B3024" w14:textId="77777777" w:rsidR="007E097D" w:rsidRDefault="007E097D">
            <w:pPr>
              <w:jc w:val="center"/>
              <w:rPr>
                <w:color w:val="000000"/>
                <w:sz w:val="22"/>
                <w:szCs w:val="22"/>
              </w:rPr>
            </w:pPr>
            <w:r>
              <w:rPr>
                <w:color w:val="000000"/>
                <w:sz w:val="22"/>
                <w:szCs w:val="22"/>
              </w:rPr>
              <w:t> </w:t>
            </w:r>
          </w:p>
        </w:tc>
        <w:tc>
          <w:tcPr>
            <w:tcW w:w="1580" w:type="dxa"/>
            <w:tcBorders>
              <w:top w:val="nil"/>
              <w:left w:val="nil"/>
              <w:bottom w:val="nil"/>
              <w:right w:val="single" w:sz="4" w:space="0" w:color="auto"/>
            </w:tcBorders>
            <w:shd w:val="clear" w:color="auto" w:fill="auto"/>
            <w:noWrap/>
            <w:vAlign w:val="bottom"/>
            <w:hideMark/>
          </w:tcPr>
          <w:p w14:paraId="24E2A507" w14:textId="77777777" w:rsidR="007E097D" w:rsidRDefault="007E097D">
            <w:pPr>
              <w:rPr>
                <w:rFonts w:ascii="Calibri" w:hAnsi="Calibri" w:cs="Calibri"/>
                <w:color w:val="000000"/>
              </w:rPr>
            </w:pPr>
            <w:r>
              <w:rPr>
                <w:rFonts w:ascii="Calibri" w:hAnsi="Calibri" w:cs="Calibri"/>
                <w:color w:val="000000"/>
              </w:rPr>
              <w:t> </w:t>
            </w:r>
          </w:p>
        </w:tc>
      </w:tr>
      <w:tr w:rsidR="007E097D" w14:paraId="35ABF8EA" w14:textId="77777777" w:rsidTr="00FC53AD">
        <w:trPr>
          <w:trHeight w:val="320"/>
        </w:trPr>
        <w:tc>
          <w:tcPr>
            <w:tcW w:w="6700" w:type="dxa"/>
            <w:tcBorders>
              <w:top w:val="nil"/>
              <w:left w:val="single" w:sz="4" w:space="0" w:color="auto"/>
              <w:bottom w:val="nil"/>
              <w:right w:val="nil"/>
            </w:tcBorders>
            <w:shd w:val="clear" w:color="auto" w:fill="auto"/>
            <w:noWrap/>
            <w:vAlign w:val="bottom"/>
            <w:hideMark/>
          </w:tcPr>
          <w:p w14:paraId="62F9C8D1" w14:textId="77777777" w:rsidR="007E097D" w:rsidRDefault="007E097D">
            <w:pPr>
              <w:ind w:firstLineChars="100" w:firstLine="220"/>
              <w:rPr>
                <w:color w:val="000000"/>
                <w:sz w:val="22"/>
                <w:szCs w:val="22"/>
              </w:rPr>
            </w:pPr>
            <w:r>
              <w:rPr>
                <w:color w:val="000000"/>
                <w:sz w:val="22"/>
                <w:szCs w:val="22"/>
              </w:rPr>
              <w:t>Pulmonologist B</w:t>
            </w:r>
          </w:p>
        </w:tc>
        <w:tc>
          <w:tcPr>
            <w:tcW w:w="2160" w:type="dxa"/>
            <w:tcBorders>
              <w:top w:val="nil"/>
              <w:left w:val="single" w:sz="4" w:space="0" w:color="auto"/>
              <w:bottom w:val="nil"/>
              <w:right w:val="single" w:sz="4" w:space="0" w:color="auto"/>
            </w:tcBorders>
            <w:shd w:val="clear" w:color="auto" w:fill="auto"/>
            <w:noWrap/>
            <w:vAlign w:val="bottom"/>
            <w:hideMark/>
          </w:tcPr>
          <w:p w14:paraId="2399E36D" w14:textId="77777777" w:rsidR="007E097D" w:rsidRDefault="007E097D">
            <w:pPr>
              <w:jc w:val="center"/>
              <w:rPr>
                <w:color w:val="000000"/>
              </w:rPr>
            </w:pPr>
            <w:r>
              <w:rPr>
                <w:color w:val="000000"/>
              </w:rPr>
              <w:t>1.37 (0.28, 6.80)</w:t>
            </w:r>
          </w:p>
        </w:tc>
        <w:tc>
          <w:tcPr>
            <w:tcW w:w="1580" w:type="dxa"/>
            <w:tcBorders>
              <w:top w:val="nil"/>
              <w:left w:val="nil"/>
              <w:bottom w:val="nil"/>
              <w:right w:val="single" w:sz="4" w:space="0" w:color="auto"/>
            </w:tcBorders>
            <w:shd w:val="clear" w:color="auto" w:fill="auto"/>
            <w:noWrap/>
            <w:vAlign w:val="bottom"/>
            <w:hideMark/>
          </w:tcPr>
          <w:p w14:paraId="61B69CD8" w14:textId="77777777" w:rsidR="007E097D" w:rsidRDefault="007E097D">
            <w:pPr>
              <w:jc w:val="center"/>
              <w:rPr>
                <w:color w:val="000000"/>
              </w:rPr>
            </w:pPr>
            <w:r>
              <w:rPr>
                <w:color w:val="000000"/>
              </w:rPr>
              <w:t>0.70</w:t>
            </w:r>
          </w:p>
        </w:tc>
      </w:tr>
      <w:tr w:rsidR="007E097D" w14:paraId="52ACD6AB" w14:textId="77777777" w:rsidTr="00FC53AD">
        <w:trPr>
          <w:trHeight w:val="320"/>
        </w:trPr>
        <w:tc>
          <w:tcPr>
            <w:tcW w:w="6700" w:type="dxa"/>
            <w:tcBorders>
              <w:top w:val="nil"/>
              <w:left w:val="single" w:sz="4" w:space="0" w:color="auto"/>
              <w:bottom w:val="single" w:sz="4" w:space="0" w:color="auto"/>
              <w:right w:val="nil"/>
            </w:tcBorders>
            <w:shd w:val="clear" w:color="auto" w:fill="auto"/>
            <w:noWrap/>
            <w:vAlign w:val="bottom"/>
            <w:hideMark/>
          </w:tcPr>
          <w:p w14:paraId="2178F8CF" w14:textId="77777777" w:rsidR="007E097D" w:rsidRDefault="007E097D">
            <w:pPr>
              <w:ind w:firstLineChars="100" w:firstLine="220"/>
              <w:rPr>
                <w:color w:val="000000"/>
                <w:sz w:val="22"/>
                <w:szCs w:val="22"/>
              </w:rPr>
            </w:pPr>
            <w:r>
              <w:rPr>
                <w:color w:val="000000"/>
                <w:sz w:val="22"/>
                <w:szCs w:val="22"/>
              </w:rPr>
              <w:t>Pulmonologist group</w:t>
            </w:r>
          </w:p>
        </w:tc>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38EDE1D6" w14:textId="77777777" w:rsidR="007E097D" w:rsidRDefault="007E097D">
            <w:pPr>
              <w:jc w:val="center"/>
              <w:rPr>
                <w:color w:val="000000"/>
                <w:sz w:val="22"/>
                <w:szCs w:val="22"/>
              </w:rPr>
            </w:pPr>
            <w:r>
              <w:rPr>
                <w:color w:val="000000"/>
                <w:sz w:val="22"/>
                <w:szCs w:val="22"/>
              </w:rPr>
              <w:t>0.59 (0.26, 1.36)</w:t>
            </w:r>
          </w:p>
        </w:tc>
        <w:tc>
          <w:tcPr>
            <w:tcW w:w="1580" w:type="dxa"/>
            <w:tcBorders>
              <w:top w:val="nil"/>
              <w:left w:val="nil"/>
              <w:bottom w:val="single" w:sz="4" w:space="0" w:color="auto"/>
              <w:right w:val="single" w:sz="4" w:space="0" w:color="auto"/>
            </w:tcBorders>
            <w:shd w:val="clear" w:color="auto" w:fill="auto"/>
            <w:noWrap/>
            <w:vAlign w:val="bottom"/>
            <w:hideMark/>
          </w:tcPr>
          <w:p w14:paraId="18FD90E8" w14:textId="77777777" w:rsidR="007E097D" w:rsidRDefault="007E097D">
            <w:pPr>
              <w:jc w:val="center"/>
              <w:rPr>
                <w:color w:val="000000"/>
              </w:rPr>
            </w:pPr>
            <w:r>
              <w:rPr>
                <w:color w:val="000000"/>
              </w:rPr>
              <w:t>0.22</w:t>
            </w:r>
          </w:p>
        </w:tc>
      </w:tr>
    </w:tbl>
    <w:p w14:paraId="4BB4356A" w14:textId="77777777" w:rsidR="007E097D" w:rsidRDefault="007E097D" w:rsidP="00013E48">
      <w:pPr>
        <w:contextualSpacing/>
        <w:rPr>
          <w:rFonts w:eastAsia="Calibri"/>
          <w:b/>
          <w:bCs/>
        </w:rPr>
      </w:pPr>
    </w:p>
    <w:p w14:paraId="5B71EE6F" w14:textId="77777777" w:rsidR="00661390" w:rsidRDefault="00000000"/>
    <w:sectPr w:rsidR="00661390" w:rsidSect="002D6D43">
      <w:pgSz w:w="15840" w:h="12240" w:orient="landscape"/>
      <w:pgMar w:top="108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imes Roman">
    <w:altName w:val="Times New Roman"/>
    <w:panose1 w:val="00000500000000020000"/>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17626359"/>
      <w:docPartObj>
        <w:docPartGallery w:val="Page Numbers (Bottom of Page)"/>
        <w:docPartUnique/>
      </w:docPartObj>
    </w:sdtPr>
    <w:sdtContent>
      <w:p w14:paraId="01948E75" w14:textId="77777777" w:rsidR="007D05D9" w:rsidRDefault="00000000" w:rsidP="00F5561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B29C624" w14:textId="77777777" w:rsidR="007D05D9" w:rsidRDefault="00000000" w:rsidP="007D05D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54666563"/>
      <w:docPartObj>
        <w:docPartGallery w:val="Page Numbers (Bottom of Page)"/>
        <w:docPartUnique/>
      </w:docPartObj>
    </w:sdtPr>
    <w:sdtContent>
      <w:p w14:paraId="2B806AB0" w14:textId="77777777" w:rsidR="007D05D9" w:rsidRDefault="00000000" w:rsidP="00F5561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889B9AD" w14:textId="77777777" w:rsidR="007D05D9" w:rsidRDefault="00000000" w:rsidP="007D05D9">
    <w:pPr>
      <w:pStyle w:val="Footer"/>
      <w:ind w:right="360"/>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F33A8"/>
    <w:multiLevelType w:val="hybridMultilevel"/>
    <w:tmpl w:val="F3D4C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B21A32"/>
    <w:multiLevelType w:val="hybridMultilevel"/>
    <w:tmpl w:val="F296E39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2BE452F"/>
    <w:multiLevelType w:val="multilevel"/>
    <w:tmpl w:val="19F0763E"/>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 w15:restartNumberingAfterBreak="0">
    <w:nsid w:val="15D40DA1"/>
    <w:multiLevelType w:val="hybridMultilevel"/>
    <w:tmpl w:val="33A00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1E17D0"/>
    <w:multiLevelType w:val="hybridMultilevel"/>
    <w:tmpl w:val="76AE55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CD24B0D"/>
    <w:multiLevelType w:val="hybridMultilevel"/>
    <w:tmpl w:val="88E665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0602EF"/>
    <w:multiLevelType w:val="hybridMultilevel"/>
    <w:tmpl w:val="F3D4C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2816E29"/>
    <w:multiLevelType w:val="hybridMultilevel"/>
    <w:tmpl w:val="E7C072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1177076"/>
    <w:multiLevelType w:val="hybridMultilevel"/>
    <w:tmpl w:val="648AA06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3D23028"/>
    <w:multiLevelType w:val="hybridMultilevel"/>
    <w:tmpl w:val="F3D4C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5AB3162"/>
    <w:multiLevelType w:val="hybridMultilevel"/>
    <w:tmpl w:val="1E6C8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5942A4"/>
    <w:multiLevelType w:val="hybridMultilevel"/>
    <w:tmpl w:val="AC5E0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4A7049"/>
    <w:multiLevelType w:val="hybridMultilevel"/>
    <w:tmpl w:val="B62E8968"/>
    <w:lvl w:ilvl="0" w:tplc="E77AD684">
      <w:start w:val="1"/>
      <w:numFmt w:val="upperRoman"/>
      <w:pStyle w:val="NIHheader3"/>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F076CFB"/>
    <w:multiLevelType w:val="hybridMultilevel"/>
    <w:tmpl w:val="5F3CD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2A1668"/>
    <w:multiLevelType w:val="hybridMultilevel"/>
    <w:tmpl w:val="6B982D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F754770"/>
    <w:multiLevelType w:val="hybridMultilevel"/>
    <w:tmpl w:val="C8841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710312"/>
    <w:multiLevelType w:val="hybridMultilevel"/>
    <w:tmpl w:val="F296E3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CA5482"/>
    <w:multiLevelType w:val="hybridMultilevel"/>
    <w:tmpl w:val="86D075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2C27B49"/>
    <w:multiLevelType w:val="hybridMultilevel"/>
    <w:tmpl w:val="FE5812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37E2690"/>
    <w:multiLevelType w:val="hybridMultilevel"/>
    <w:tmpl w:val="B434B0F6"/>
    <w:lvl w:ilvl="0" w:tplc="409C1C82">
      <w:start w:val="1"/>
      <w:numFmt w:val="upperLetter"/>
      <w:pStyle w:val="NIHheader2"/>
      <w:lvlText w:val="%1."/>
      <w:lvlJc w:val="left"/>
      <w:pPr>
        <w:ind w:left="1890" w:hanging="360"/>
      </w:pPr>
      <w:rPr>
        <w:rFonts w:hint="default"/>
        <w:b/>
        <w:i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0" w15:restartNumberingAfterBreak="0">
    <w:nsid w:val="64027E88"/>
    <w:multiLevelType w:val="multilevel"/>
    <w:tmpl w:val="F27AE4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76D1AD3"/>
    <w:multiLevelType w:val="hybridMultilevel"/>
    <w:tmpl w:val="7C8C93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F823D9"/>
    <w:multiLevelType w:val="hybridMultilevel"/>
    <w:tmpl w:val="C70A6D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47E5D7E"/>
    <w:multiLevelType w:val="hybridMultilevel"/>
    <w:tmpl w:val="F296E3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896727D"/>
    <w:multiLevelType w:val="hybridMultilevel"/>
    <w:tmpl w:val="EFDC77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8E36501"/>
    <w:multiLevelType w:val="hybridMultilevel"/>
    <w:tmpl w:val="6CAEB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A8480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24099831">
    <w:abstractNumId w:val="19"/>
  </w:num>
  <w:num w:numId="2" w16cid:durableId="1226142429">
    <w:abstractNumId w:val="12"/>
  </w:num>
  <w:num w:numId="3" w16cid:durableId="1794011119">
    <w:abstractNumId w:val="19"/>
  </w:num>
  <w:num w:numId="4" w16cid:durableId="2101902453">
    <w:abstractNumId w:val="12"/>
  </w:num>
  <w:num w:numId="5" w16cid:durableId="262108558">
    <w:abstractNumId w:val="8"/>
  </w:num>
  <w:num w:numId="6" w16cid:durableId="580484719">
    <w:abstractNumId w:val="10"/>
  </w:num>
  <w:num w:numId="7" w16cid:durableId="712923507">
    <w:abstractNumId w:val="21"/>
  </w:num>
  <w:num w:numId="8" w16cid:durableId="1811753630">
    <w:abstractNumId w:val="13"/>
  </w:num>
  <w:num w:numId="9" w16cid:durableId="874081183">
    <w:abstractNumId w:val="20"/>
  </w:num>
  <w:num w:numId="10" w16cid:durableId="286860215">
    <w:abstractNumId w:val="26"/>
  </w:num>
  <w:num w:numId="11" w16cid:durableId="1408041297">
    <w:abstractNumId w:val="3"/>
  </w:num>
  <w:num w:numId="12" w16cid:durableId="653685825">
    <w:abstractNumId w:val="14"/>
  </w:num>
  <w:num w:numId="13" w16cid:durableId="908923860">
    <w:abstractNumId w:val="2"/>
  </w:num>
  <w:num w:numId="14" w16cid:durableId="1798714836">
    <w:abstractNumId w:val="11"/>
  </w:num>
  <w:num w:numId="15" w16cid:durableId="1022130038">
    <w:abstractNumId w:val="4"/>
  </w:num>
  <w:num w:numId="16" w16cid:durableId="893541341">
    <w:abstractNumId w:val="18"/>
  </w:num>
  <w:num w:numId="17" w16cid:durableId="1804738937">
    <w:abstractNumId w:val="7"/>
  </w:num>
  <w:num w:numId="18" w16cid:durableId="1515996032">
    <w:abstractNumId w:val="17"/>
  </w:num>
  <w:num w:numId="19" w16cid:durableId="1443064379">
    <w:abstractNumId w:val="25"/>
  </w:num>
  <w:num w:numId="20" w16cid:durableId="796022369">
    <w:abstractNumId w:val="15"/>
  </w:num>
  <w:num w:numId="21" w16cid:durableId="523792759">
    <w:abstractNumId w:val="16"/>
  </w:num>
  <w:num w:numId="22" w16cid:durableId="707413021">
    <w:abstractNumId w:val="22"/>
  </w:num>
  <w:num w:numId="23" w16cid:durableId="1420904894">
    <w:abstractNumId w:val="24"/>
  </w:num>
  <w:num w:numId="24" w16cid:durableId="1406954902">
    <w:abstractNumId w:val="5"/>
  </w:num>
  <w:num w:numId="25" w16cid:durableId="1528718254">
    <w:abstractNumId w:val="23"/>
  </w:num>
  <w:num w:numId="26" w16cid:durableId="1759981606">
    <w:abstractNumId w:val="0"/>
  </w:num>
  <w:num w:numId="27" w16cid:durableId="1523088673">
    <w:abstractNumId w:val="6"/>
  </w:num>
  <w:num w:numId="28" w16cid:durableId="890964125">
    <w:abstractNumId w:val="9"/>
  </w:num>
  <w:num w:numId="29" w16cid:durableId="2145150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s>
  <w:rsids>
    <w:rsidRoot w:val="007E097D"/>
    <w:rsid w:val="0000367F"/>
    <w:rsid w:val="000108F8"/>
    <w:rsid w:val="00030318"/>
    <w:rsid w:val="0004287F"/>
    <w:rsid w:val="00045FF8"/>
    <w:rsid w:val="000472B8"/>
    <w:rsid w:val="0006516F"/>
    <w:rsid w:val="000A2C3A"/>
    <w:rsid w:val="000A7430"/>
    <w:rsid w:val="000B0B09"/>
    <w:rsid w:val="000B0EDB"/>
    <w:rsid w:val="000B7D4F"/>
    <w:rsid w:val="000C2F19"/>
    <w:rsid w:val="000E1710"/>
    <w:rsid w:val="001014C8"/>
    <w:rsid w:val="00103502"/>
    <w:rsid w:val="00111D9A"/>
    <w:rsid w:val="00124958"/>
    <w:rsid w:val="00140D0B"/>
    <w:rsid w:val="0014785C"/>
    <w:rsid w:val="0015146B"/>
    <w:rsid w:val="00151F54"/>
    <w:rsid w:val="00176F9C"/>
    <w:rsid w:val="001B51AA"/>
    <w:rsid w:val="001C1480"/>
    <w:rsid w:val="001E42AE"/>
    <w:rsid w:val="001E5854"/>
    <w:rsid w:val="001F3714"/>
    <w:rsid w:val="00201408"/>
    <w:rsid w:val="00204422"/>
    <w:rsid w:val="00224D66"/>
    <w:rsid w:val="00235969"/>
    <w:rsid w:val="002443AB"/>
    <w:rsid w:val="00256E2B"/>
    <w:rsid w:val="002665C3"/>
    <w:rsid w:val="002809E7"/>
    <w:rsid w:val="002A25B9"/>
    <w:rsid w:val="002A4AD4"/>
    <w:rsid w:val="002A51E9"/>
    <w:rsid w:val="002A5E19"/>
    <w:rsid w:val="002B4AE1"/>
    <w:rsid w:val="002C2933"/>
    <w:rsid w:val="00307D1C"/>
    <w:rsid w:val="00327E86"/>
    <w:rsid w:val="00336CD1"/>
    <w:rsid w:val="00352237"/>
    <w:rsid w:val="00367A8E"/>
    <w:rsid w:val="00374996"/>
    <w:rsid w:val="0038217C"/>
    <w:rsid w:val="003A08D1"/>
    <w:rsid w:val="003A7E0F"/>
    <w:rsid w:val="003B0B50"/>
    <w:rsid w:val="003C0F0D"/>
    <w:rsid w:val="003C20E2"/>
    <w:rsid w:val="003C3364"/>
    <w:rsid w:val="003E172A"/>
    <w:rsid w:val="004143C4"/>
    <w:rsid w:val="0043730B"/>
    <w:rsid w:val="00454D5D"/>
    <w:rsid w:val="00480D30"/>
    <w:rsid w:val="004A4021"/>
    <w:rsid w:val="004B59DE"/>
    <w:rsid w:val="004C2765"/>
    <w:rsid w:val="004D586E"/>
    <w:rsid w:val="004E5443"/>
    <w:rsid w:val="004F0B31"/>
    <w:rsid w:val="00504133"/>
    <w:rsid w:val="005161B3"/>
    <w:rsid w:val="0056711B"/>
    <w:rsid w:val="0057139D"/>
    <w:rsid w:val="0057562B"/>
    <w:rsid w:val="0058304A"/>
    <w:rsid w:val="005C081D"/>
    <w:rsid w:val="005C14DB"/>
    <w:rsid w:val="005C44E1"/>
    <w:rsid w:val="005D252F"/>
    <w:rsid w:val="00622070"/>
    <w:rsid w:val="00630404"/>
    <w:rsid w:val="0066160F"/>
    <w:rsid w:val="006723B0"/>
    <w:rsid w:val="0067438F"/>
    <w:rsid w:val="00677C88"/>
    <w:rsid w:val="006C50EC"/>
    <w:rsid w:val="006C600E"/>
    <w:rsid w:val="006E5C86"/>
    <w:rsid w:val="00726767"/>
    <w:rsid w:val="00740C75"/>
    <w:rsid w:val="00742EE6"/>
    <w:rsid w:val="00747B6E"/>
    <w:rsid w:val="00751CFC"/>
    <w:rsid w:val="00756824"/>
    <w:rsid w:val="0077690D"/>
    <w:rsid w:val="007A2CF9"/>
    <w:rsid w:val="007A5304"/>
    <w:rsid w:val="007B5D5F"/>
    <w:rsid w:val="007C12D3"/>
    <w:rsid w:val="007E097D"/>
    <w:rsid w:val="007E4009"/>
    <w:rsid w:val="00815B7D"/>
    <w:rsid w:val="00831D00"/>
    <w:rsid w:val="008334EA"/>
    <w:rsid w:val="008447F1"/>
    <w:rsid w:val="00866763"/>
    <w:rsid w:val="008667CB"/>
    <w:rsid w:val="00884FF9"/>
    <w:rsid w:val="008B383C"/>
    <w:rsid w:val="008E581F"/>
    <w:rsid w:val="0090700D"/>
    <w:rsid w:val="00907162"/>
    <w:rsid w:val="00912507"/>
    <w:rsid w:val="009245B0"/>
    <w:rsid w:val="00927C9F"/>
    <w:rsid w:val="009314E8"/>
    <w:rsid w:val="009464E3"/>
    <w:rsid w:val="00954F89"/>
    <w:rsid w:val="00972A95"/>
    <w:rsid w:val="00983526"/>
    <w:rsid w:val="00990AA0"/>
    <w:rsid w:val="009950A6"/>
    <w:rsid w:val="009A0327"/>
    <w:rsid w:val="009A2A48"/>
    <w:rsid w:val="009B0686"/>
    <w:rsid w:val="009B6779"/>
    <w:rsid w:val="009C3EEA"/>
    <w:rsid w:val="009C49CB"/>
    <w:rsid w:val="009C6B38"/>
    <w:rsid w:val="009E460D"/>
    <w:rsid w:val="009F7CEF"/>
    <w:rsid w:val="00A16BDA"/>
    <w:rsid w:val="00A3329E"/>
    <w:rsid w:val="00A46F73"/>
    <w:rsid w:val="00A7137B"/>
    <w:rsid w:val="00A77C66"/>
    <w:rsid w:val="00A83B64"/>
    <w:rsid w:val="00AA241E"/>
    <w:rsid w:val="00AE7014"/>
    <w:rsid w:val="00AF7A6B"/>
    <w:rsid w:val="00B211D6"/>
    <w:rsid w:val="00B544C5"/>
    <w:rsid w:val="00B573E4"/>
    <w:rsid w:val="00B60676"/>
    <w:rsid w:val="00B71484"/>
    <w:rsid w:val="00B837F4"/>
    <w:rsid w:val="00B84A05"/>
    <w:rsid w:val="00BB4448"/>
    <w:rsid w:val="00BB7E7B"/>
    <w:rsid w:val="00BD19B0"/>
    <w:rsid w:val="00BE41A1"/>
    <w:rsid w:val="00BF5F2C"/>
    <w:rsid w:val="00C11995"/>
    <w:rsid w:val="00C13C09"/>
    <w:rsid w:val="00C2415C"/>
    <w:rsid w:val="00C5254D"/>
    <w:rsid w:val="00C55B9B"/>
    <w:rsid w:val="00C67481"/>
    <w:rsid w:val="00C95079"/>
    <w:rsid w:val="00CA6031"/>
    <w:rsid w:val="00CC736D"/>
    <w:rsid w:val="00CE0C41"/>
    <w:rsid w:val="00D023A5"/>
    <w:rsid w:val="00D04A36"/>
    <w:rsid w:val="00D05C12"/>
    <w:rsid w:val="00D10785"/>
    <w:rsid w:val="00D249A1"/>
    <w:rsid w:val="00D26519"/>
    <w:rsid w:val="00D525ED"/>
    <w:rsid w:val="00D54C43"/>
    <w:rsid w:val="00D5540A"/>
    <w:rsid w:val="00D668B3"/>
    <w:rsid w:val="00D70A41"/>
    <w:rsid w:val="00D75225"/>
    <w:rsid w:val="00D756C5"/>
    <w:rsid w:val="00D87D07"/>
    <w:rsid w:val="00D94A2A"/>
    <w:rsid w:val="00DA6FEA"/>
    <w:rsid w:val="00DB3984"/>
    <w:rsid w:val="00DB4288"/>
    <w:rsid w:val="00DC09CD"/>
    <w:rsid w:val="00DC0CF6"/>
    <w:rsid w:val="00DC3DCC"/>
    <w:rsid w:val="00DF3A38"/>
    <w:rsid w:val="00E00194"/>
    <w:rsid w:val="00E01227"/>
    <w:rsid w:val="00E031CF"/>
    <w:rsid w:val="00E07ADA"/>
    <w:rsid w:val="00E15CC2"/>
    <w:rsid w:val="00E24BC2"/>
    <w:rsid w:val="00E570D5"/>
    <w:rsid w:val="00E61CC8"/>
    <w:rsid w:val="00E677CE"/>
    <w:rsid w:val="00E82D6D"/>
    <w:rsid w:val="00E8447E"/>
    <w:rsid w:val="00E92241"/>
    <w:rsid w:val="00EB36A6"/>
    <w:rsid w:val="00EB3932"/>
    <w:rsid w:val="00EB47C4"/>
    <w:rsid w:val="00EB59AE"/>
    <w:rsid w:val="00EC22E5"/>
    <w:rsid w:val="00EF29BA"/>
    <w:rsid w:val="00EF75A4"/>
    <w:rsid w:val="00F1724A"/>
    <w:rsid w:val="00F31442"/>
    <w:rsid w:val="00F55B68"/>
    <w:rsid w:val="00F66B19"/>
    <w:rsid w:val="00F71284"/>
    <w:rsid w:val="00F736CE"/>
    <w:rsid w:val="00F8216A"/>
    <w:rsid w:val="00F82A1A"/>
    <w:rsid w:val="00F941A4"/>
    <w:rsid w:val="00F94250"/>
    <w:rsid w:val="00FA376C"/>
    <w:rsid w:val="00FE49F1"/>
    <w:rsid w:val="00FF544E"/>
    <w:rsid w:val="00FF65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AA8F29D"/>
  <w15:chartTrackingRefBased/>
  <w15:docId w15:val="{961756F2-82EC-1D49-ADFD-6A8128C6C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097D"/>
    <w:rPr>
      <w:rFonts w:ascii="Times New Roman" w:eastAsia="Times New Roman" w:hAnsi="Times New Roman" w:cs="Times New Roman"/>
    </w:rPr>
  </w:style>
  <w:style w:type="paragraph" w:styleId="Heading1">
    <w:name w:val="heading 1"/>
    <w:aliases w:val="Academic Header 1"/>
    <w:basedOn w:val="Normal"/>
    <w:next w:val="Normal"/>
    <w:link w:val="Heading1Char"/>
    <w:uiPriority w:val="9"/>
    <w:qFormat/>
    <w:rsid w:val="007E097D"/>
    <w:pPr>
      <w:keepNext/>
      <w:keepLines/>
      <w:spacing w:line="480" w:lineRule="auto"/>
      <w:contextualSpacing/>
      <w:outlineLvl w:val="0"/>
    </w:pPr>
    <w:rPr>
      <w:rFonts w:eastAsiaTheme="majorEastAsia" w:cstheme="majorBidi"/>
      <w:b/>
      <w:color w:val="000000" w:themeColor="text1"/>
      <w:szCs w:val="32"/>
    </w:rPr>
  </w:style>
  <w:style w:type="paragraph" w:styleId="Heading2">
    <w:name w:val="heading 2"/>
    <w:aliases w:val="Academic Heading 2"/>
    <w:basedOn w:val="Normal"/>
    <w:next w:val="Normal"/>
    <w:link w:val="Heading2Char"/>
    <w:uiPriority w:val="9"/>
    <w:unhideWhenUsed/>
    <w:qFormat/>
    <w:rsid w:val="007E097D"/>
    <w:pPr>
      <w:keepNext/>
      <w:keepLines/>
      <w:spacing w:line="480" w:lineRule="auto"/>
      <w:contextualSpacing/>
      <w:outlineLvl w:val="1"/>
    </w:pPr>
    <w:rPr>
      <w:rFonts w:eastAsiaTheme="majorEastAsia" w:cstheme="majorBidi"/>
      <w:i/>
      <w:color w:val="000000" w:themeColor="text1"/>
      <w:szCs w:val="26"/>
    </w:rPr>
  </w:style>
  <w:style w:type="paragraph" w:styleId="Heading3">
    <w:name w:val="heading 3"/>
    <w:basedOn w:val="Normal"/>
    <w:next w:val="Normal"/>
    <w:link w:val="Heading3Char"/>
    <w:uiPriority w:val="9"/>
    <w:semiHidden/>
    <w:unhideWhenUsed/>
    <w:qFormat/>
    <w:rsid w:val="00D023A5"/>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D023A5"/>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D023A5"/>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7E09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097D"/>
  </w:style>
  <w:style w:type="paragraph" w:styleId="Title">
    <w:name w:val="Title"/>
    <w:aliases w:val="Academic Title"/>
    <w:basedOn w:val="Heading1"/>
    <w:next w:val="Normal"/>
    <w:link w:val="TitleChar"/>
    <w:uiPriority w:val="10"/>
    <w:qFormat/>
    <w:rsid w:val="007E097D"/>
    <w:pPr>
      <w:spacing w:line="240" w:lineRule="auto"/>
      <w:jc w:val="center"/>
    </w:pPr>
    <w:rPr>
      <w:spacing w:val="-10"/>
      <w:kern w:val="28"/>
      <w:szCs w:val="56"/>
    </w:rPr>
  </w:style>
  <w:style w:type="character" w:customStyle="1" w:styleId="TitleChar">
    <w:name w:val="Title Char"/>
    <w:aliases w:val="Academic Title Char"/>
    <w:basedOn w:val="DefaultParagraphFont"/>
    <w:link w:val="Title"/>
    <w:uiPriority w:val="10"/>
    <w:rsid w:val="007E097D"/>
    <w:rPr>
      <w:rFonts w:ascii="Times New Roman" w:eastAsiaTheme="majorEastAsia" w:hAnsi="Times New Roman" w:cstheme="majorBidi"/>
      <w:b/>
      <w:color w:val="000000" w:themeColor="text1"/>
      <w:spacing w:val="-10"/>
      <w:kern w:val="28"/>
      <w:szCs w:val="56"/>
    </w:rPr>
  </w:style>
  <w:style w:type="paragraph" w:styleId="TOC1">
    <w:name w:val="toc 1"/>
    <w:next w:val="NoSpacing"/>
    <w:autoRedefine/>
    <w:uiPriority w:val="39"/>
    <w:unhideWhenUsed/>
    <w:rsid w:val="00E031CF"/>
    <w:pPr>
      <w:spacing w:after="100"/>
    </w:pPr>
    <w:rPr>
      <w:rFonts w:ascii="Times New Roman" w:eastAsiaTheme="minorEastAsia" w:hAnsi="Times New Roman"/>
      <w:lang w:eastAsia="zh-CN"/>
    </w:rPr>
  </w:style>
  <w:style w:type="paragraph" w:styleId="NoSpacing">
    <w:name w:val="No Spacing"/>
    <w:uiPriority w:val="1"/>
    <w:qFormat/>
    <w:rsid w:val="00E031CF"/>
    <w:pPr>
      <w:contextualSpacing/>
    </w:pPr>
    <w:rPr>
      <w:rFonts w:ascii="Arial" w:hAnsi="Arial"/>
      <w:sz w:val="22"/>
      <w:szCs w:val="22"/>
    </w:rPr>
  </w:style>
  <w:style w:type="paragraph" w:customStyle="1" w:styleId="NIHheader5">
    <w:name w:val="NIH header 5"/>
    <w:basedOn w:val="Heading5"/>
    <w:autoRedefine/>
    <w:qFormat/>
    <w:rsid w:val="00D023A5"/>
    <w:pPr>
      <w:spacing w:before="0" w:after="80"/>
    </w:pPr>
    <w:rPr>
      <w:rFonts w:ascii="Arial" w:hAnsi="Arial"/>
      <w:b/>
      <w:color w:val="000000" w:themeColor="text1"/>
    </w:rPr>
  </w:style>
  <w:style w:type="character" w:customStyle="1" w:styleId="Heading5Char">
    <w:name w:val="Heading 5 Char"/>
    <w:basedOn w:val="DefaultParagraphFont"/>
    <w:link w:val="Heading5"/>
    <w:uiPriority w:val="9"/>
    <w:semiHidden/>
    <w:rsid w:val="00D023A5"/>
    <w:rPr>
      <w:rFonts w:asciiTheme="majorHAnsi" w:eastAsiaTheme="majorEastAsia" w:hAnsiTheme="majorHAnsi" w:cstheme="majorBidi"/>
      <w:color w:val="2F5496" w:themeColor="accent1" w:themeShade="BF"/>
      <w:sz w:val="22"/>
      <w:szCs w:val="22"/>
    </w:rPr>
  </w:style>
  <w:style w:type="paragraph" w:customStyle="1" w:styleId="NIHheader1">
    <w:name w:val="NIH header 1"/>
    <w:basedOn w:val="Heading1"/>
    <w:next w:val="Heading1"/>
    <w:link w:val="NIHheader1Char"/>
    <w:autoRedefine/>
    <w:qFormat/>
    <w:rsid w:val="00D023A5"/>
    <w:rPr>
      <w:rFonts w:ascii="Arial" w:eastAsia="Times New Roman" w:hAnsi="Arial" w:cs="Arial"/>
      <w:b w:val="0"/>
      <w:bCs/>
      <w:kern w:val="36"/>
      <w:sz w:val="22"/>
      <w:szCs w:val="22"/>
      <w:u w:val="single"/>
      <w:lang w:val="en"/>
    </w:rPr>
  </w:style>
  <w:style w:type="character" w:customStyle="1" w:styleId="NIHheader1Char">
    <w:name w:val="NIH header 1 Char"/>
    <w:basedOn w:val="DefaultParagraphFont"/>
    <w:link w:val="NIHheader1"/>
    <w:rsid w:val="00D023A5"/>
    <w:rPr>
      <w:rFonts w:ascii="Arial" w:eastAsia="Times New Roman" w:hAnsi="Arial" w:cs="Arial"/>
      <w:b/>
      <w:bCs/>
      <w:color w:val="000000" w:themeColor="text1"/>
      <w:kern w:val="36"/>
      <w:sz w:val="22"/>
      <w:szCs w:val="22"/>
      <w:u w:val="single"/>
      <w:lang w:val="en"/>
    </w:rPr>
  </w:style>
  <w:style w:type="character" w:customStyle="1" w:styleId="Heading1Char">
    <w:name w:val="Heading 1 Char"/>
    <w:aliases w:val="Academic Header 1 Char"/>
    <w:basedOn w:val="DefaultParagraphFont"/>
    <w:link w:val="Heading1"/>
    <w:uiPriority w:val="9"/>
    <w:rsid w:val="007E097D"/>
    <w:rPr>
      <w:rFonts w:ascii="Times New Roman" w:eastAsiaTheme="majorEastAsia" w:hAnsi="Times New Roman" w:cstheme="majorBidi"/>
      <w:b/>
      <w:color w:val="000000" w:themeColor="text1"/>
      <w:szCs w:val="32"/>
    </w:rPr>
  </w:style>
  <w:style w:type="paragraph" w:customStyle="1" w:styleId="NIHheader2">
    <w:name w:val="NIH header 2"/>
    <w:basedOn w:val="Heading2"/>
    <w:next w:val="Heading2"/>
    <w:link w:val="NIHheader2Char"/>
    <w:autoRedefine/>
    <w:qFormat/>
    <w:rsid w:val="00D023A5"/>
    <w:pPr>
      <w:numPr>
        <w:numId w:val="3"/>
      </w:numPr>
      <w:autoSpaceDE w:val="0"/>
      <w:autoSpaceDN w:val="0"/>
      <w:adjustRightInd w:val="0"/>
      <w:spacing w:after="60"/>
      <w:contextualSpacing w:val="0"/>
    </w:pPr>
    <w:rPr>
      <w:rFonts w:ascii="Arial" w:eastAsia="Calibri" w:hAnsi="Arial" w:cs="Arial"/>
      <w:b/>
      <w:sz w:val="22"/>
    </w:rPr>
  </w:style>
  <w:style w:type="character" w:customStyle="1" w:styleId="NIHheader2Char">
    <w:name w:val="NIH header 2 Char"/>
    <w:basedOn w:val="Heading2Char"/>
    <w:link w:val="NIHheader2"/>
    <w:rsid w:val="00D023A5"/>
    <w:rPr>
      <w:rFonts w:ascii="Arial" w:eastAsia="Calibri" w:hAnsi="Arial" w:cs="Arial"/>
      <w:b/>
      <w:i/>
      <w:color w:val="000000" w:themeColor="text1"/>
      <w:sz w:val="22"/>
      <w:szCs w:val="26"/>
    </w:rPr>
  </w:style>
  <w:style w:type="character" w:customStyle="1" w:styleId="Heading2Char">
    <w:name w:val="Heading 2 Char"/>
    <w:aliases w:val="Academic Heading 2 Char"/>
    <w:basedOn w:val="DefaultParagraphFont"/>
    <w:link w:val="Heading2"/>
    <w:uiPriority w:val="9"/>
    <w:rsid w:val="007E097D"/>
    <w:rPr>
      <w:rFonts w:ascii="Times New Roman" w:eastAsiaTheme="majorEastAsia" w:hAnsi="Times New Roman" w:cstheme="majorBidi"/>
      <w:i/>
      <w:color w:val="000000" w:themeColor="text1"/>
      <w:szCs w:val="26"/>
    </w:rPr>
  </w:style>
  <w:style w:type="paragraph" w:customStyle="1" w:styleId="NIHheader3">
    <w:name w:val="NIH header 3"/>
    <w:basedOn w:val="Heading3"/>
    <w:next w:val="Heading3"/>
    <w:link w:val="NIHheader3Char"/>
    <w:autoRedefine/>
    <w:qFormat/>
    <w:rsid w:val="00D023A5"/>
    <w:pPr>
      <w:numPr>
        <w:numId w:val="4"/>
      </w:numPr>
      <w:spacing w:after="40"/>
    </w:pPr>
    <w:rPr>
      <w:rFonts w:ascii="Arial" w:eastAsia="Calibri" w:hAnsi="Arial"/>
      <w:b/>
      <w:bCs/>
      <w:i/>
      <w:iCs/>
      <w:sz w:val="22"/>
    </w:rPr>
  </w:style>
  <w:style w:type="character" w:customStyle="1" w:styleId="NIHheader3Char">
    <w:name w:val="NIH header 3 Char"/>
    <w:basedOn w:val="Heading3Char"/>
    <w:link w:val="NIHheader3"/>
    <w:rsid w:val="00D023A5"/>
    <w:rPr>
      <w:rFonts w:ascii="Arial" w:eastAsia="Calibri" w:hAnsi="Arial" w:cstheme="majorBidi"/>
      <w:b/>
      <w:bCs/>
      <w:i/>
      <w:iCs/>
      <w:color w:val="1F3763" w:themeColor="accent1" w:themeShade="7F"/>
      <w:sz w:val="22"/>
    </w:rPr>
  </w:style>
  <w:style w:type="character" w:customStyle="1" w:styleId="Heading3Char">
    <w:name w:val="Heading 3 Char"/>
    <w:basedOn w:val="DefaultParagraphFont"/>
    <w:link w:val="Heading3"/>
    <w:uiPriority w:val="9"/>
    <w:semiHidden/>
    <w:rsid w:val="00D023A5"/>
    <w:rPr>
      <w:rFonts w:asciiTheme="majorHAnsi" w:eastAsiaTheme="majorEastAsia" w:hAnsiTheme="majorHAnsi" w:cstheme="majorBidi"/>
      <w:color w:val="1F3763" w:themeColor="accent1" w:themeShade="7F"/>
    </w:rPr>
  </w:style>
  <w:style w:type="paragraph" w:customStyle="1" w:styleId="NIHheader4">
    <w:name w:val="NIH header 4"/>
    <w:basedOn w:val="Heading4"/>
    <w:link w:val="NIHheader4Char"/>
    <w:qFormat/>
    <w:rsid w:val="00D023A5"/>
    <w:rPr>
      <w:rFonts w:ascii="Arial" w:hAnsi="Arial"/>
      <w:b/>
      <w:bCs/>
      <w:iCs w:val="0"/>
      <w:color w:val="000000" w:themeColor="text1"/>
    </w:rPr>
  </w:style>
  <w:style w:type="character" w:customStyle="1" w:styleId="NIHheader4Char">
    <w:name w:val="NIH header 4 Char"/>
    <w:basedOn w:val="Heading4Char"/>
    <w:link w:val="NIHheader4"/>
    <w:rsid w:val="00D023A5"/>
    <w:rPr>
      <w:rFonts w:ascii="Arial" w:eastAsiaTheme="majorEastAsia" w:hAnsi="Arial" w:cstheme="majorBidi"/>
      <w:b/>
      <w:bCs/>
      <w:i/>
      <w:iCs w:val="0"/>
      <w:color w:val="000000" w:themeColor="text1"/>
      <w:sz w:val="22"/>
      <w:szCs w:val="22"/>
    </w:rPr>
  </w:style>
  <w:style w:type="character" w:customStyle="1" w:styleId="Heading4Char">
    <w:name w:val="Heading 4 Char"/>
    <w:basedOn w:val="DefaultParagraphFont"/>
    <w:link w:val="Heading4"/>
    <w:uiPriority w:val="9"/>
    <w:semiHidden/>
    <w:rsid w:val="00D023A5"/>
    <w:rPr>
      <w:rFonts w:asciiTheme="majorHAnsi" w:eastAsiaTheme="majorEastAsia" w:hAnsiTheme="majorHAnsi" w:cstheme="majorBidi"/>
      <w:i/>
      <w:iCs/>
      <w:color w:val="2F5496" w:themeColor="accent1" w:themeShade="BF"/>
      <w:sz w:val="22"/>
      <w:szCs w:val="22"/>
    </w:rPr>
  </w:style>
  <w:style w:type="paragraph" w:customStyle="1" w:styleId="Style1">
    <w:name w:val="Style1"/>
    <w:basedOn w:val="BalloonText"/>
    <w:autoRedefine/>
    <w:qFormat/>
    <w:rsid w:val="00D023A5"/>
    <w:pPr>
      <w:pBdr>
        <w:top w:val="single" w:sz="4" w:space="1" w:color="auto"/>
        <w:left w:val="single" w:sz="4" w:space="4" w:color="auto"/>
        <w:bottom w:val="single" w:sz="4" w:space="1" w:color="auto"/>
        <w:right w:val="single" w:sz="4" w:space="4" w:color="auto"/>
      </w:pBdr>
      <w:shd w:val="clear" w:color="auto" w:fill="D9D9D9"/>
      <w:ind w:left="86" w:right="86"/>
    </w:pPr>
    <w:rPr>
      <w:rFonts w:eastAsia="MS Mincho" w:cs="Arial"/>
      <w:b/>
      <w:i/>
      <w:iCs/>
      <w:color w:val="000000" w:themeColor="text1"/>
      <w:sz w:val="22"/>
      <w:lang w:eastAsia="ja-JP"/>
    </w:rPr>
  </w:style>
  <w:style w:type="paragraph" w:styleId="BalloonText">
    <w:name w:val="Balloon Text"/>
    <w:basedOn w:val="Normal"/>
    <w:link w:val="BalloonTextChar"/>
    <w:uiPriority w:val="99"/>
    <w:semiHidden/>
    <w:unhideWhenUsed/>
    <w:rsid w:val="007E097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E097D"/>
    <w:rPr>
      <w:rFonts w:ascii="Lucida Grande" w:eastAsia="Times New Roman" w:hAnsi="Lucida Grande" w:cs="Lucida Grande"/>
      <w:sz w:val="18"/>
      <w:szCs w:val="18"/>
    </w:rPr>
  </w:style>
  <w:style w:type="character" w:styleId="Strong">
    <w:name w:val="Strong"/>
    <w:basedOn w:val="DefaultParagraphFont"/>
    <w:uiPriority w:val="22"/>
    <w:qFormat/>
    <w:rsid w:val="00D023A5"/>
    <w:rPr>
      <w:b/>
      <w:bCs/>
    </w:rPr>
  </w:style>
  <w:style w:type="paragraph" w:styleId="ListParagraph">
    <w:name w:val="List Paragraph"/>
    <w:basedOn w:val="Normal"/>
    <w:uiPriority w:val="34"/>
    <w:qFormat/>
    <w:rsid w:val="007E097D"/>
    <w:pPr>
      <w:ind w:left="720"/>
      <w:contextualSpacing/>
    </w:pPr>
    <w:rPr>
      <w:rFonts w:eastAsiaTheme="minorEastAsia"/>
    </w:rPr>
  </w:style>
  <w:style w:type="table" w:customStyle="1" w:styleId="TableGrid13">
    <w:name w:val="Table Grid13"/>
    <w:basedOn w:val="TableNormal"/>
    <w:next w:val="TableGrid"/>
    <w:uiPriority w:val="59"/>
    <w:rsid w:val="007E097D"/>
    <w:rPr>
      <w:rFonts w:ascii="Arial" w:eastAsia="Calibri" w:hAnsi="Arial" w:cs="Times New Roman"/>
      <w:sz w:val="22"/>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7E097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E097D"/>
    <w:rPr>
      <w:sz w:val="18"/>
      <w:szCs w:val="18"/>
    </w:rPr>
  </w:style>
  <w:style w:type="paragraph" w:styleId="CommentText">
    <w:name w:val="annotation text"/>
    <w:basedOn w:val="Normal"/>
    <w:link w:val="CommentTextChar"/>
    <w:uiPriority w:val="99"/>
    <w:unhideWhenUsed/>
    <w:rsid w:val="007E097D"/>
  </w:style>
  <w:style w:type="character" w:customStyle="1" w:styleId="CommentTextChar">
    <w:name w:val="Comment Text Char"/>
    <w:basedOn w:val="DefaultParagraphFont"/>
    <w:link w:val="CommentText"/>
    <w:uiPriority w:val="99"/>
    <w:rsid w:val="007E097D"/>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7E097D"/>
    <w:rPr>
      <w:b/>
      <w:bCs/>
      <w:sz w:val="20"/>
      <w:szCs w:val="20"/>
    </w:rPr>
  </w:style>
  <w:style w:type="character" w:customStyle="1" w:styleId="CommentSubjectChar">
    <w:name w:val="Comment Subject Char"/>
    <w:basedOn w:val="CommentTextChar"/>
    <w:link w:val="CommentSubject"/>
    <w:uiPriority w:val="99"/>
    <w:semiHidden/>
    <w:rsid w:val="007E097D"/>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7E097D"/>
    <w:rPr>
      <w:color w:val="0563C1" w:themeColor="hyperlink"/>
      <w:u w:val="single"/>
    </w:rPr>
  </w:style>
  <w:style w:type="character" w:styleId="UnresolvedMention">
    <w:name w:val="Unresolved Mention"/>
    <w:basedOn w:val="DefaultParagraphFont"/>
    <w:uiPriority w:val="99"/>
    <w:semiHidden/>
    <w:unhideWhenUsed/>
    <w:rsid w:val="007E097D"/>
    <w:rPr>
      <w:color w:val="605E5C"/>
      <w:shd w:val="clear" w:color="auto" w:fill="E1DFDD"/>
    </w:rPr>
  </w:style>
  <w:style w:type="paragraph" w:customStyle="1" w:styleId="EndNoteBibliographyTitle">
    <w:name w:val="EndNote Bibliography Title"/>
    <w:basedOn w:val="Normal"/>
    <w:link w:val="EndNoteBibliographyTitleChar"/>
    <w:rsid w:val="007E097D"/>
    <w:pPr>
      <w:jc w:val="center"/>
    </w:pPr>
  </w:style>
  <w:style w:type="character" w:customStyle="1" w:styleId="EndNoteBibliographyTitleChar">
    <w:name w:val="EndNote Bibliography Title Char"/>
    <w:basedOn w:val="CommentTextChar"/>
    <w:link w:val="EndNoteBibliographyTitle"/>
    <w:rsid w:val="007E097D"/>
    <w:rPr>
      <w:rFonts w:ascii="Times New Roman" w:eastAsia="Times New Roman" w:hAnsi="Times New Roman" w:cs="Times New Roman"/>
    </w:rPr>
  </w:style>
  <w:style w:type="paragraph" w:customStyle="1" w:styleId="EndNoteBibliography">
    <w:name w:val="EndNote Bibliography"/>
    <w:basedOn w:val="Normal"/>
    <w:link w:val="EndNoteBibliographyChar"/>
    <w:rsid w:val="007E097D"/>
  </w:style>
  <w:style w:type="character" w:customStyle="1" w:styleId="EndNoteBibliographyChar">
    <w:name w:val="EndNote Bibliography Char"/>
    <w:basedOn w:val="CommentTextChar"/>
    <w:link w:val="EndNoteBibliography"/>
    <w:rsid w:val="007E097D"/>
    <w:rPr>
      <w:rFonts w:ascii="Times New Roman" w:eastAsia="Times New Roman" w:hAnsi="Times New Roman" w:cs="Times New Roman"/>
    </w:rPr>
  </w:style>
  <w:style w:type="paragraph" w:styleId="Revision">
    <w:name w:val="Revision"/>
    <w:hidden/>
    <w:uiPriority w:val="99"/>
    <w:semiHidden/>
    <w:rsid w:val="007E097D"/>
    <w:rPr>
      <w:rFonts w:ascii="Times New Roman" w:hAnsi="Times New Roman"/>
      <w:szCs w:val="22"/>
    </w:rPr>
  </w:style>
  <w:style w:type="paragraph" w:styleId="Footer">
    <w:name w:val="footer"/>
    <w:basedOn w:val="Normal"/>
    <w:link w:val="FooterChar"/>
    <w:uiPriority w:val="99"/>
    <w:unhideWhenUsed/>
    <w:rsid w:val="007E097D"/>
    <w:pPr>
      <w:tabs>
        <w:tab w:val="center" w:pos="4680"/>
        <w:tab w:val="right" w:pos="9360"/>
      </w:tabs>
    </w:pPr>
  </w:style>
  <w:style w:type="character" w:customStyle="1" w:styleId="FooterChar">
    <w:name w:val="Footer Char"/>
    <w:basedOn w:val="DefaultParagraphFont"/>
    <w:link w:val="Footer"/>
    <w:uiPriority w:val="99"/>
    <w:rsid w:val="007E097D"/>
    <w:rPr>
      <w:rFonts w:ascii="Times New Roman" w:eastAsia="Times New Roman" w:hAnsi="Times New Roman" w:cs="Times New Roman"/>
    </w:rPr>
  </w:style>
  <w:style w:type="character" w:styleId="PageNumber">
    <w:name w:val="page number"/>
    <w:basedOn w:val="DefaultParagraphFont"/>
    <w:uiPriority w:val="99"/>
    <w:semiHidden/>
    <w:unhideWhenUsed/>
    <w:rsid w:val="007E097D"/>
  </w:style>
  <w:style w:type="paragraph" w:styleId="Header">
    <w:name w:val="header"/>
    <w:basedOn w:val="Normal"/>
    <w:link w:val="HeaderChar"/>
    <w:uiPriority w:val="99"/>
    <w:unhideWhenUsed/>
    <w:rsid w:val="007E097D"/>
    <w:pPr>
      <w:tabs>
        <w:tab w:val="center" w:pos="4680"/>
        <w:tab w:val="right" w:pos="9360"/>
      </w:tabs>
    </w:pPr>
  </w:style>
  <w:style w:type="character" w:customStyle="1" w:styleId="HeaderChar">
    <w:name w:val="Header Char"/>
    <w:basedOn w:val="DefaultParagraphFont"/>
    <w:link w:val="Header"/>
    <w:uiPriority w:val="99"/>
    <w:rsid w:val="007E097D"/>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footer" Target="footer2.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11" Type="http://schemas.openxmlformats.org/officeDocument/2006/relationships/fontTable" Target="fontTable.xml"/><Relationship Id="rId5" Type="http://schemas.openxmlformats.org/officeDocument/2006/relationships/hyperlink" Target="mailto:ccfoster@luriechildrens.org" TargetMode="Externa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25</Pages>
  <Words>5914</Words>
  <Characters>33714</Characters>
  <Application>Microsoft Office Word</Application>
  <DocSecurity>0</DocSecurity>
  <Lines>280</Lines>
  <Paragraphs>79</Paragraphs>
  <ScaleCrop>false</ScaleCrop>
  <Company/>
  <LinksUpToDate>false</LinksUpToDate>
  <CharactersWithSpaces>39549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Carolyn Foster</dc:creator>
  <cp:keywords/>
  <dc:description/>
  <cp:lastModifiedBy>Carolyn Foster</cp:lastModifiedBy>
  <cp:revision>2</cp:revision>
  <dcterms:created xsi:type="dcterms:W3CDTF">2022-11-28T18:23:00Z</dcterms:created>
  <dcterms:modified xsi:type="dcterms:W3CDTF">2022-11-28T18:25:00Z</dcterms:modified>
</cp:coreProperties>
</file>